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05E" w:rsidRPr="0052548E" w:rsidRDefault="00E45289" w:rsidP="00A6305E">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6305E" w:rsidRPr="0052548E">
        <w:rPr>
          <w:rFonts w:ascii="Arial" w:hAnsi="Arial" w:cs="Arial"/>
          <w:b/>
          <w:bCs/>
          <w:sz w:val="28"/>
        </w:rPr>
        <w:t>3GPP TSG RAN WG1 Meeting</w:t>
      </w:r>
      <w:r w:rsidR="00A6305E">
        <w:rPr>
          <w:rFonts w:ascii="Arial" w:hAnsi="Arial" w:cs="Arial"/>
          <w:b/>
          <w:bCs/>
          <w:sz w:val="28"/>
        </w:rPr>
        <w:t xml:space="preserve"> 90bis                                        </w:t>
      </w:r>
      <w:r w:rsidR="00203342" w:rsidRPr="00203342">
        <w:rPr>
          <w:rFonts w:ascii="Arial" w:hAnsi="Arial" w:cs="Arial"/>
          <w:b/>
          <w:bCs/>
          <w:sz w:val="28"/>
        </w:rPr>
        <w:t>R1-1717746</w:t>
      </w:r>
      <w:bookmarkStart w:id="0" w:name="_GoBack"/>
      <w:bookmarkEnd w:id="0"/>
    </w:p>
    <w:p w:rsidR="003C346D" w:rsidRPr="0052396B" w:rsidRDefault="00A6305E" w:rsidP="00A6305E">
      <w:pPr>
        <w:tabs>
          <w:tab w:val="center" w:pos="4536"/>
          <w:tab w:val="right" w:pos="9072"/>
        </w:tabs>
        <w:rPr>
          <w:b/>
          <w:bCs/>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Pr>
          <w:rFonts w:ascii="Arial" w:eastAsia="MS Mincho" w:hAnsi="Arial" w:cs="Arial" w:hint="eastAsia"/>
          <w:b/>
          <w:bCs/>
          <w:sz w:val="28"/>
          <w:lang w:eastAsia="ja-JP"/>
        </w:rPr>
        <w:t>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D15E51">
        <w:rPr>
          <w:b/>
        </w:rPr>
        <w:t>2.3.4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4F0884" w:rsidRPr="004F0884">
        <w:rPr>
          <w:b/>
        </w:rPr>
        <w:t xml:space="preserve"> on PT-RS for CP-OFDM</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C65B4D" w:rsidRDefault="00C65B4D" w:rsidP="00C65B4D">
      <w:pPr>
        <w:jc w:val="left"/>
        <w:rPr>
          <w:lang w:eastAsia="zh-CN"/>
        </w:rPr>
      </w:pPr>
      <w:r>
        <w:rPr>
          <w:lang w:eastAsia="zh-CN"/>
        </w:rPr>
        <w:t xml:space="preserve">This contribution is revised from </w:t>
      </w:r>
      <w:r w:rsidRPr="009A5C6F">
        <w:rPr>
          <w:lang w:eastAsia="zh-CN"/>
        </w:rPr>
        <w:t>R1-171551</w:t>
      </w:r>
      <w:r>
        <w:rPr>
          <w:lang w:eastAsia="zh-CN"/>
        </w:rPr>
        <w:t>3.</w:t>
      </w:r>
    </w:p>
    <w:p w:rsidR="00CA4B41" w:rsidRDefault="00870580" w:rsidP="00870580">
      <w:pPr>
        <w:jc w:val="left"/>
        <w:rPr>
          <w:lang w:eastAsia="zh-CN"/>
        </w:rPr>
      </w:pPr>
      <w:r>
        <w:rPr>
          <w:lang w:eastAsia="zh-CN"/>
        </w:rPr>
        <w:t>In RAN1</w:t>
      </w:r>
      <w:r w:rsidR="00E14E67">
        <w:rPr>
          <w:lang w:eastAsia="zh-CN"/>
        </w:rPr>
        <w:t xml:space="preserve"> AH 1709</w:t>
      </w:r>
      <w:r w:rsidR="00504456">
        <w:rPr>
          <w:lang w:eastAsia="zh-CN"/>
        </w:rPr>
        <w:fldChar w:fldCharType="begin"/>
      </w:r>
      <w:r w:rsidR="00504456">
        <w:rPr>
          <w:lang w:eastAsia="zh-CN"/>
        </w:rPr>
        <w:instrText xml:space="preserve"> REF _Ref494215420 \r \h </w:instrText>
      </w:r>
      <w:r w:rsidR="00504456">
        <w:rPr>
          <w:lang w:eastAsia="zh-CN"/>
        </w:rPr>
      </w:r>
      <w:r w:rsidR="00504456">
        <w:rPr>
          <w:lang w:eastAsia="zh-CN"/>
        </w:rPr>
        <w:fldChar w:fldCharType="separate"/>
      </w:r>
      <w:r w:rsidR="00504456">
        <w:rPr>
          <w:lang w:eastAsia="zh-CN"/>
        </w:rPr>
        <w:t>[1]</w:t>
      </w:r>
      <w:r w:rsidR="00504456">
        <w:rPr>
          <w:lang w:eastAsia="zh-CN"/>
        </w:rPr>
        <w:fldChar w:fldCharType="end"/>
      </w:r>
      <w:r>
        <w:rPr>
          <w:lang w:eastAsia="zh-CN"/>
        </w:rPr>
        <w:t xml:space="preserve">, </w:t>
      </w:r>
      <w:r w:rsidR="00CA4B41">
        <w:rPr>
          <w:lang w:eastAsia="zh-CN"/>
        </w:rPr>
        <w:t xml:space="preserve">the following </w:t>
      </w:r>
      <w:r w:rsidR="00E14E67">
        <w:rPr>
          <w:lang w:eastAsia="zh-CN"/>
        </w:rPr>
        <w:t>agreement regarding</w:t>
      </w:r>
      <w:r w:rsidR="00CA4B41">
        <w:rPr>
          <w:lang w:eastAsia="zh-CN"/>
        </w:rPr>
        <w:t xml:space="preserve"> PT-RS </w:t>
      </w:r>
      <w:r w:rsidR="00E14E67">
        <w:rPr>
          <w:lang w:eastAsia="zh-CN"/>
        </w:rPr>
        <w:t>mapping</w:t>
      </w:r>
      <w:r w:rsidR="00CA4B41">
        <w:rPr>
          <w:lang w:eastAsia="zh-CN"/>
        </w:rPr>
        <w:t xml:space="preserve"> was reached.</w:t>
      </w:r>
    </w:p>
    <w:tbl>
      <w:tblPr>
        <w:tblStyle w:val="ac"/>
        <w:tblW w:w="0" w:type="auto"/>
        <w:tblLook w:val="04A0" w:firstRow="1" w:lastRow="0" w:firstColumn="1" w:lastColumn="0" w:noHBand="0" w:noVBand="1"/>
      </w:tblPr>
      <w:tblGrid>
        <w:gridCol w:w="9307"/>
      </w:tblGrid>
      <w:tr w:rsidR="00CA4B41" w:rsidTr="00CA4B41">
        <w:tc>
          <w:tcPr>
            <w:tcW w:w="9307" w:type="dxa"/>
          </w:tcPr>
          <w:p w:rsidR="00E14E67" w:rsidRPr="00176BF9" w:rsidRDefault="00E14E67" w:rsidP="00E14E67">
            <w:pPr>
              <w:spacing w:after="0"/>
              <w:rPr>
                <w:b/>
                <w:lang w:eastAsia="x-none"/>
              </w:rPr>
            </w:pPr>
            <w:r w:rsidRPr="00176BF9">
              <w:rPr>
                <w:b/>
                <w:highlight w:val="green"/>
                <w:lang w:eastAsia="x-none"/>
              </w:rPr>
              <w:t>Agreement:</w:t>
            </w:r>
          </w:p>
          <w:p w:rsidR="00E14E67" w:rsidRPr="00E14E67" w:rsidRDefault="00E14E67" w:rsidP="00E14E67">
            <w:pPr>
              <w:pStyle w:val="af"/>
              <w:numPr>
                <w:ilvl w:val="0"/>
                <w:numId w:val="39"/>
              </w:numPr>
              <w:autoSpaceDE/>
              <w:autoSpaceDN/>
              <w:adjustRightInd/>
              <w:snapToGrid/>
              <w:spacing w:after="0"/>
              <w:ind w:firstLineChars="0"/>
              <w:contextualSpacing/>
              <w:jc w:val="left"/>
              <w:rPr>
                <w:szCs w:val="20"/>
              </w:rPr>
            </w:pPr>
            <w:r w:rsidRPr="00480384">
              <w:rPr>
                <w:szCs w:val="20"/>
              </w:rPr>
              <w:t xml:space="preserve">The subcarrier for which the PTRS associated with a certain DMRS port is mapped is the same in all RBs where PT-RS is present </w:t>
            </w:r>
          </w:p>
          <w:p w:rsidR="00E14E67" w:rsidRPr="00480384" w:rsidRDefault="00E14E67" w:rsidP="00E14E67">
            <w:pPr>
              <w:pStyle w:val="af"/>
              <w:numPr>
                <w:ilvl w:val="0"/>
                <w:numId w:val="39"/>
              </w:numPr>
              <w:autoSpaceDE/>
              <w:autoSpaceDN/>
              <w:adjustRightInd/>
              <w:snapToGrid/>
              <w:spacing w:after="0"/>
              <w:ind w:firstLineChars="0"/>
              <w:contextualSpacing/>
              <w:jc w:val="left"/>
              <w:rPr>
                <w:szCs w:val="20"/>
              </w:rPr>
            </w:pPr>
            <w:r w:rsidRPr="00480384">
              <w:rPr>
                <w:szCs w:val="20"/>
              </w:rPr>
              <w:t>The maximum number of DL PT-RS ports is the same as the number of DMRS groups per PDSCH, which is 2 in Rel-15</w:t>
            </w:r>
          </w:p>
          <w:p w:rsidR="00E14E67" w:rsidRPr="00480384" w:rsidRDefault="00E14E67" w:rsidP="00E14E67">
            <w:pPr>
              <w:pStyle w:val="af"/>
              <w:numPr>
                <w:ilvl w:val="0"/>
                <w:numId w:val="39"/>
              </w:numPr>
              <w:autoSpaceDE/>
              <w:autoSpaceDN/>
              <w:adjustRightInd/>
              <w:snapToGrid/>
              <w:spacing w:after="0"/>
              <w:ind w:firstLineChars="0"/>
              <w:contextualSpacing/>
              <w:jc w:val="left"/>
              <w:rPr>
                <w:b/>
                <w:szCs w:val="20"/>
              </w:rPr>
            </w:pPr>
            <w:r w:rsidRPr="00480384">
              <w:rPr>
                <w:szCs w:val="20"/>
              </w:rPr>
              <w:t xml:space="preserve">The subcarrier in the RB where PTRS is mapped among the subcarriers used for the associated DMRS port, consider further these alternatives until Wednesday: </w:t>
            </w:r>
          </w:p>
          <w:p w:rsidR="00E14E67" w:rsidRPr="00480384" w:rsidRDefault="00E14E67" w:rsidP="00E14E67">
            <w:pPr>
              <w:pStyle w:val="af"/>
              <w:numPr>
                <w:ilvl w:val="1"/>
                <w:numId w:val="39"/>
              </w:numPr>
              <w:autoSpaceDE/>
              <w:autoSpaceDN/>
              <w:adjustRightInd/>
              <w:snapToGrid/>
              <w:spacing w:after="0"/>
              <w:ind w:firstLineChars="0"/>
              <w:contextualSpacing/>
              <w:jc w:val="left"/>
              <w:rPr>
                <w:b/>
                <w:szCs w:val="20"/>
              </w:rPr>
            </w:pPr>
            <w:r w:rsidRPr="00480384">
              <w:rPr>
                <w:szCs w:val="20"/>
              </w:rPr>
              <w:t xml:space="preserve">Alt.1 Fixed to smallest subcarrier index k </w:t>
            </w:r>
          </w:p>
          <w:p w:rsidR="00E14E67" w:rsidRPr="00480384" w:rsidRDefault="00E14E67" w:rsidP="00E14E67">
            <w:pPr>
              <w:pStyle w:val="af"/>
              <w:numPr>
                <w:ilvl w:val="1"/>
                <w:numId w:val="39"/>
              </w:numPr>
              <w:autoSpaceDE/>
              <w:autoSpaceDN/>
              <w:adjustRightInd/>
              <w:snapToGrid/>
              <w:spacing w:after="0"/>
              <w:ind w:firstLineChars="0"/>
              <w:contextualSpacing/>
              <w:jc w:val="left"/>
              <w:rPr>
                <w:b/>
                <w:szCs w:val="20"/>
              </w:rPr>
            </w:pPr>
            <w:r w:rsidRPr="00480384">
              <w:rPr>
                <w:szCs w:val="20"/>
              </w:rPr>
              <w:t xml:space="preserve">Alt.2 Default is fixed to largest subcarrier index k. Can be configured to other subcarriers by higher layer signalling. </w:t>
            </w:r>
          </w:p>
          <w:p w:rsidR="00E14E67" w:rsidRPr="00480384" w:rsidRDefault="00E14E67" w:rsidP="00E14E67">
            <w:pPr>
              <w:pStyle w:val="af"/>
              <w:numPr>
                <w:ilvl w:val="1"/>
                <w:numId w:val="39"/>
              </w:numPr>
              <w:autoSpaceDE/>
              <w:autoSpaceDN/>
              <w:adjustRightInd/>
              <w:snapToGrid/>
              <w:spacing w:after="0"/>
              <w:ind w:firstLineChars="0"/>
              <w:contextualSpacing/>
              <w:jc w:val="left"/>
              <w:rPr>
                <w:b/>
                <w:szCs w:val="20"/>
              </w:rPr>
            </w:pPr>
            <w:r w:rsidRPr="00480384">
              <w:rPr>
                <w:szCs w:val="20"/>
              </w:rPr>
              <w:t xml:space="preserve">Alt.3a Implicitly given by Cell ID </w:t>
            </w:r>
          </w:p>
          <w:p w:rsidR="00E14E67" w:rsidRPr="00480384" w:rsidRDefault="00E14E67" w:rsidP="00E14E67">
            <w:pPr>
              <w:pStyle w:val="af"/>
              <w:numPr>
                <w:ilvl w:val="1"/>
                <w:numId w:val="39"/>
              </w:numPr>
              <w:autoSpaceDE/>
              <w:autoSpaceDN/>
              <w:adjustRightInd/>
              <w:snapToGrid/>
              <w:spacing w:after="0"/>
              <w:ind w:firstLineChars="0"/>
              <w:contextualSpacing/>
              <w:jc w:val="left"/>
              <w:rPr>
                <w:b/>
                <w:szCs w:val="20"/>
              </w:rPr>
            </w:pPr>
            <w:r w:rsidRPr="00480384">
              <w:rPr>
                <w:szCs w:val="20"/>
              </w:rPr>
              <w:t>Alt.3b Implicitly given by another UE specific parameter (DMRS/PT-RS scrambling ID (if defined), C-RNTI,…)</w:t>
            </w:r>
          </w:p>
          <w:p w:rsidR="00CA4B41" w:rsidRPr="00E14E67" w:rsidRDefault="00E14E67" w:rsidP="00E14E67">
            <w:pPr>
              <w:pStyle w:val="af"/>
              <w:numPr>
                <w:ilvl w:val="1"/>
                <w:numId w:val="39"/>
              </w:numPr>
              <w:autoSpaceDE/>
              <w:autoSpaceDN/>
              <w:adjustRightInd/>
              <w:snapToGrid/>
              <w:spacing w:after="0"/>
              <w:ind w:firstLineChars="0"/>
              <w:contextualSpacing/>
              <w:jc w:val="left"/>
              <w:rPr>
                <w:b/>
                <w:szCs w:val="20"/>
              </w:rPr>
            </w:pPr>
            <w:r w:rsidRPr="00480384">
              <w:rPr>
                <w:szCs w:val="20"/>
              </w:rPr>
              <w:t xml:space="preserve">Alt.4 Each DMRS port maps PT-RS to a different subcarrier by a specified rule </w:t>
            </w:r>
          </w:p>
          <w:p w:rsidR="00E14E67" w:rsidRPr="00480384" w:rsidRDefault="00E14E67" w:rsidP="00E14E67">
            <w:pPr>
              <w:spacing w:after="0"/>
              <w:rPr>
                <w:b/>
                <w:lang w:eastAsia="x-none"/>
              </w:rPr>
            </w:pPr>
            <w:r w:rsidRPr="00BB2B39">
              <w:rPr>
                <w:b/>
                <w:highlight w:val="green"/>
                <w:lang w:eastAsia="x-none"/>
              </w:rPr>
              <w:t>Agreement:</w:t>
            </w:r>
          </w:p>
          <w:p w:rsidR="00E14E67" w:rsidRPr="001E7CB1" w:rsidRDefault="00E14E67" w:rsidP="00E14E67">
            <w:pPr>
              <w:spacing w:after="0"/>
            </w:pPr>
            <w:r w:rsidRPr="00C51F78">
              <w:t xml:space="preserve">For mapping of PT-RS to RBs among the scheduled RBs for DL and UL: The no RB offset (=0, PT-RS is present in the scheduled RB with lowest RB index and then follows the pattern according to the PT-RS freq. density) is the default </w:t>
            </w:r>
            <w:r w:rsidRPr="001E7CB1">
              <w:t>value</w:t>
            </w:r>
            <w:r>
              <w:t xml:space="preserve"> if supported. D</w:t>
            </w:r>
            <w:r w:rsidRPr="001E7CB1">
              <w:t>own-selection among the following alternatives in RAN1#90bis:</w:t>
            </w:r>
          </w:p>
          <w:p w:rsidR="00E14E67" w:rsidRPr="006F3CB3" w:rsidRDefault="00E14E67" w:rsidP="00E14E67">
            <w:pPr>
              <w:pStyle w:val="af"/>
              <w:numPr>
                <w:ilvl w:val="0"/>
                <w:numId w:val="43"/>
              </w:numPr>
              <w:autoSpaceDE/>
              <w:autoSpaceDN/>
              <w:adjustRightInd/>
              <w:snapToGrid/>
              <w:spacing w:after="0"/>
              <w:ind w:firstLineChars="0"/>
              <w:contextualSpacing/>
              <w:jc w:val="left"/>
              <w:rPr>
                <w:color w:val="000000"/>
                <w:lang w:eastAsia="zh-CN"/>
              </w:rPr>
            </w:pPr>
            <w:r w:rsidRPr="006F3CB3">
              <w:rPr>
                <w:color w:val="000000"/>
              </w:rPr>
              <w:t>Alt.1: RB offset is fixed (e.g., RB offset=0) in Rel. 15</w:t>
            </w:r>
          </w:p>
          <w:p w:rsidR="00E14E67" w:rsidRPr="006F3CB3" w:rsidRDefault="00E14E67" w:rsidP="00E14E67">
            <w:pPr>
              <w:pStyle w:val="af"/>
              <w:numPr>
                <w:ilvl w:val="0"/>
                <w:numId w:val="43"/>
              </w:numPr>
              <w:autoSpaceDE/>
              <w:autoSpaceDN/>
              <w:adjustRightInd/>
              <w:snapToGrid/>
              <w:spacing w:after="0"/>
              <w:ind w:firstLineChars="0"/>
              <w:contextualSpacing/>
              <w:jc w:val="left"/>
              <w:rPr>
                <w:rFonts w:ascii="Calibri" w:hAnsi="Calibri"/>
                <w:color w:val="000000"/>
              </w:rPr>
            </w:pPr>
            <w:r w:rsidRPr="006F3CB3">
              <w:rPr>
                <w:color w:val="000000"/>
              </w:rPr>
              <w:t>Alt.2: RB offset is determined based on UE-specific</w:t>
            </w:r>
            <w:r w:rsidRPr="006F3CB3">
              <w:rPr>
                <w:strike/>
                <w:color w:val="000000"/>
              </w:rPr>
              <w:t xml:space="preserve"> </w:t>
            </w:r>
            <w:r w:rsidRPr="006F3CB3">
              <w:rPr>
                <w:color w:val="000000"/>
              </w:rPr>
              <w:t xml:space="preserve">configuration </w:t>
            </w:r>
          </w:p>
          <w:p w:rsidR="00E14E67" w:rsidRPr="006F3CB3" w:rsidRDefault="00E14E67" w:rsidP="00E14E67">
            <w:pPr>
              <w:pStyle w:val="af"/>
              <w:numPr>
                <w:ilvl w:val="1"/>
                <w:numId w:val="43"/>
              </w:numPr>
              <w:autoSpaceDE/>
              <w:autoSpaceDN/>
              <w:adjustRightInd/>
              <w:snapToGrid/>
              <w:spacing w:after="0"/>
              <w:ind w:firstLineChars="0"/>
              <w:contextualSpacing/>
              <w:jc w:val="left"/>
              <w:rPr>
                <w:rFonts w:ascii="Calibri" w:hAnsi="Calibri"/>
                <w:color w:val="000000"/>
              </w:rPr>
            </w:pPr>
            <w:r w:rsidRPr="006F3CB3">
              <w:rPr>
                <w:color w:val="000000"/>
              </w:rPr>
              <w:t>FFS default RB offset is needed</w:t>
            </w:r>
          </w:p>
          <w:p w:rsidR="00E14E67" w:rsidRPr="006F3CB3" w:rsidRDefault="00E14E67" w:rsidP="00E14E67">
            <w:pPr>
              <w:pStyle w:val="af"/>
              <w:numPr>
                <w:ilvl w:val="1"/>
                <w:numId w:val="43"/>
              </w:numPr>
              <w:autoSpaceDE/>
              <w:autoSpaceDN/>
              <w:adjustRightInd/>
              <w:snapToGrid/>
              <w:spacing w:after="0"/>
              <w:ind w:firstLineChars="0"/>
              <w:contextualSpacing/>
              <w:jc w:val="left"/>
              <w:rPr>
                <w:rFonts w:ascii="Calibri" w:hAnsi="Calibri"/>
                <w:color w:val="000000"/>
              </w:rPr>
            </w:pPr>
            <w:r w:rsidRPr="006F3CB3">
              <w:rPr>
                <w:color w:val="000000"/>
              </w:rPr>
              <w:t xml:space="preserve">FFS the RB offset is explicitly signaled via higher layer signaling or implicitly determined based on the UE specifically configured parameter (e.g., C-RNTI, SCID) </w:t>
            </w:r>
          </w:p>
          <w:p w:rsidR="00E14E67" w:rsidRPr="00E14E67" w:rsidRDefault="00E14E67" w:rsidP="00E14E67">
            <w:pPr>
              <w:pStyle w:val="af"/>
              <w:numPr>
                <w:ilvl w:val="0"/>
                <w:numId w:val="42"/>
              </w:numPr>
              <w:autoSpaceDE/>
              <w:autoSpaceDN/>
              <w:adjustRightInd/>
              <w:snapToGrid/>
              <w:spacing w:after="0"/>
              <w:ind w:firstLineChars="0"/>
              <w:contextualSpacing/>
              <w:jc w:val="left"/>
            </w:pPr>
            <w:r w:rsidRPr="001E7CB1">
              <w:t>Companies are encouraged to provide evaluation results for next meeting to assess whether higher layer configuration of RB offset is beneficial for interference randomization</w:t>
            </w:r>
          </w:p>
        </w:tc>
      </w:tr>
    </w:tbl>
    <w:p w:rsidR="00870580" w:rsidRDefault="00870580" w:rsidP="00870580">
      <w:pPr>
        <w:jc w:val="left"/>
        <w:rPr>
          <w:lang w:eastAsia="zh-CN"/>
        </w:rPr>
      </w:pPr>
    </w:p>
    <w:p w:rsidR="00E14E67" w:rsidRDefault="00E14E67" w:rsidP="00E14E67">
      <w:pPr>
        <w:jc w:val="left"/>
        <w:rPr>
          <w:lang w:eastAsia="zh-CN"/>
        </w:rPr>
      </w:pPr>
      <w:r>
        <w:rPr>
          <w:lang w:eastAsia="zh-CN"/>
        </w:rPr>
        <w:t>The remaining issues regarding PT-RS</w:t>
      </w:r>
      <w:r w:rsidR="000E6090">
        <w:rPr>
          <w:lang w:eastAsia="zh-CN"/>
        </w:rPr>
        <w:t xml:space="preserve"> for CP-OFDM</w:t>
      </w:r>
      <w:r>
        <w:rPr>
          <w:lang w:eastAsia="zh-CN"/>
        </w:rPr>
        <w:t xml:space="preserve"> includes</w:t>
      </w:r>
    </w:p>
    <w:p w:rsidR="00E14E67" w:rsidRDefault="00E14E67" w:rsidP="00E14E67">
      <w:pPr>
        <w:pStyle w:val="af"/>
        <w:numPr>
          <w:ilvl w:val="0"/>
          <w:numId w:val="37"/>
        </w:numPr>
        <w:ind w:firstLineChars="0"/>
        <w:jc w:val="left"/>
        <w:rPr>
          <w:lang w:eastAsia="zh-CN"/>
        </w:rPr>
      </w:pPr>
      <w:r>
        <w:rPr>
          <w:lang w:eastAsia="zh-CN"/>
        </w:rPr>
        <w:t>Subcarrier and RB that PT-RS maps</w:t>
      </w:r>
    </w:p>
    <w:p w:rsidR="00E14E67" w:rsidRDefault="00E14E67" w:rsidP="00E14E67">
      <w:pPr>
        <w:pStyle w:val="af"/>
        <w:numPr>
          <w:ilvl w:val="0"/>
          <w:numId w:val="37"/>
        </w:numPr>
        <w:ind w:firstLineChars="0"/>
        <w:jc w:val="left"/>
        <w:rPr>
          <w:lang w:eastAsia="zh-CN"/>
        </w:rPr>
      </w:pPr>
      <w:r>
        <w:rPr>
          <w:lang w:eastAsia="zh-CN"/>
        </w:rPr>
        <w:t>Frequency domain density refinement</w:t>
      </w:r>
    </w:p>
    <w:p w:rsidR="00E14E67" w:rsidRDefault="00E14E67" w:rsidP="00E14E67">
      <w:pPr>
        <w:autoSpaceDE/>
        <w:autoSpaceDN/>
        <w:adjustRightInd/>
        <w:snapToGrid/>
        <w:jc w:val="left"/>
        <w:rPr>
          <w:szCs w:val="20"/>
        </w:rPr>
      </w:pPr>
      <w:r>
        <w:rPr>
          <w:szCs w:val="20"/>
        </w:rPr>
        <w:t xml:space="preserve">In this contribution, we are going to discuss </w:t>
      </w:r>
      <w:r w:rsidR="00A3123D">
        <w:rPr>
          <w:szCs w:val="20"/>
        </w:rPr>
        <w:t>those issues.</w:t>
      </w:r>
    </w:p>
    <w:p w:rsidR="00282772" w:rsidRDefault="00282772" w:rsidP="009D47B0">
      <w:pPr>
        <w:jc w:val="left"/>
        <w:rPr>
          <w:b/>
          <w:lang w:eastAsia="zh-CN"/>
        </w:rPr>
      </w:pPr>
    </w:p>
    <w:p w:rsidR="00E14E67" w:rsidRDefault="004F451C" w:rsidP="00930D0E">
      <w:pPr>
        <w:pStyle w:val="1"/>
        <w:rPr>
          <w:lang w:eastAsia="zh-CN"/>
        </w:rPr>
      </w:pPr>
      <w:r>
        <w:rPr>
          <w:lang w:eastAsia="zh-CN"/>
        </w:rPr>
        <w:t>Resource mapping of PT-RS in frequency domain</w:t>
      </w:r>
    </w:p>
    <w:p w:rsidR="004F451C" w:rsidRDefault="004F451C" w:rsidP="004F451C">
      <w:pPr>
        <w:rPr>
          <w:lang w:eastAsia="zh-CN"/>
        </w:rPr>
      </w:pPr>
      <w:r>
        <w:rPr>
          <w:lang w:eastAsia="zh-CN"/>
        </w:rPr>
        <w:t>The uncertainty of PT-RS mapping in frequency domain is addressed within RB and across RB, respectively.</w:t>
      </w:r>
    </w:p>
    <w:p w:rsidR="004F451C" w:rsidRDefault="004F451C" w:rsidP="004F451C">
      <w:pPr>
        <w:rPr>
          <w:lang w:eastAsia="zh-CN"/>
        </w:rPr>
      </w:pPr>
    </w:p>
    <w:p w:rsidR="004F451C" w:rsidRDefault="004F451C" w:rsidP="004F451C">
      <w:pPr>
        <w:pStyle w:val="2"/>
        <w:rPr>
          <w:lang w:eastAsia="zh-CN"/>
        </w:rPr>
      </w:pPr>
      <w:bookmarkStart w:id="1" w:name="_Ref494376608"/>
      <w:r>
        <w:rPr>
          <w:lang w:eastAsia="zh-CN"/>
        </w:rPr>
        <w:t>Subcarrier of PT-RS within a RB</w:t>
      </w:r>
      <w:bookmarkEnd w:id="1"/>
      <w:r w:rsidR="000E6090">
        <w:rPr>
          <w:lang w:eastAsia="zh-CN"/>
        </w:rPr>
        <w:t xml:space="preserve"> </w:t>
      </w:r>
    </w:p>
    <w:p w:rsidR="004F451C" w:rsidRDefault="004F451C" w:rsidP="004F451C">
      <w:pPr>
        <w:rPr>
          <w:lang w:eastAsia="zh-CN"/>
        </w:rPr>
      </w:pPr>
      <w:r>
        <w:rPr>
          <w:lang w:eastAsia="zh-CN"/>
        </w:rPr>
        <w:t xml:space="preserve">One simple way is to define the subcarrier of each PT-RS port </w:t>
      </w:r>
      <w:r w:rsidR="0059750C">
        <w:rPr>
          <w:lang w:eastAsia="zh-CN"/>
        </w:rPr>
        <w:t xml:space="preserve">from all or a subset of DMRS ports </w:t>
      </w:r>
      <w:r>
        <w:rPr>
          <w:lang w:eastAsia="zh-CN"/>
        </w:rPr>
        <w:t>from network perspective, as what we did for DMRS ports. From UE’s perspective, only maximum 2 PT-RS ports are scheduled. The scheduling information of PT-RS can be derived from the DMRS port scheduling information and the agreed fixed association.</w:t>
      </w:r>
      <w:r w:rsidR="00DC2555">
        <w:rPr>
          <w:lang w:eastAsia="zh-CN"/>
        </w:rPr>
        <w:t xml:space="preserve"> Unlike Alt.1 where PT-RS collision from MU-MIMO with the same CDM group will happen, and Alt.2 where additional specification on </w:t>
      </w:r>
      <w:r w:rsidR="0059750C">
        <w:rPr>
          <w:lang w:eastAsia="zh-CN"/>
        </w:rPr>
        <w:t>configuration is need</w:t>
      </w:r>
      <w:r w:rsidR="000525C5">
        <w:rPr>
          <w:lang w:eastAsia="zh-CN"/>
        </w:rPr>
        <w:t>ed</w:t>
      </w:r>
      <w:r w:rsidR="0059750C">
        <w:rPr>
          <w:lang w:eastAsia="zh-CN"/>
        </w:rPr>
        <w:t>, it can solve</w:t>
      </w:r>
      <w:r w:rsidR="00DC2555">
        <w:rPr>
          <w:lang w:eastAsia="zh-CN"/>
        </w:rPr>
        <w:t xml:space="preserve"> </w:t>
      </w:r>
      <w:r w:rsidR="0059750C">
        <w:rPr>
          <w:lang w:eastAsia="zh-CN"/>
        </w:rPr>
        <w:t>the potential</w:t>
      </w:r>
      <w:r w:rsidR="00DC2555">
        <w:rPr>
          <w:lang w:eastAsia="zh-CN"/>
        </w:rPr>
        <w:t xml:space="preserve"> </w:t>
      </w:r>
      <w:r w:rsidR="0059750C">
        <w:rPr>
          <w:lang w:eastAsia="zh-CN"/>
        </w:rPr>
        <w:t>problems</w:t>
      </w:r>
      <w:r w:rsidR="00DC2555">
        <w:rPr>
          <w:lang w:eastAsia="zh-CN"/>
        </w:rPr>
        <w:t xml:space="preserve"> </w:t>
      </w:r>
      <w:r w:rsidR="0059750C">
        <w:rPr>
          <w:lang w:eastAsia="zh-CN"/>
        </w:rPr>
        <w:t>once and for all</w:t>
      </w:r>
      <w:r w:rsidR="00DC2555">
        <w:rPr>
          <w:lang w:eastAsia="zh-CN"/>
        </w:rPr>
        <w:t>.</w:t>
      </w:r>
    </w:p>
    <w:p w:rsidR="004F451C" w:rsidRDefault="004F451C" w:rsidP="004F451C">
      <w:pPr>
        <w:rPr>
          <w:lang w:eastAsia="zh-CN"/>
        </w:rPr>
      </w:pPr>
      <w:r>
        <w:rPr>
          <w:lang w:eastAsia="zh-CN"/>
        </w:rPr>
        <w:fldChar w:fldCharType="begin"/>
      </w:r>
      <w:r>
        <w:rPr>
          <w:lang w:eastAsia="zh-CN"/>
        </w:rPr>
        <w:instrText xml:space="preserve"> REF _Ref489614954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_Ref489614964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shows one possible position defined for a specific cell, where the PT-RS are mapped to the lower subcarrier within a PRB. Of course PT-RS can be mapped to the upper subcarrier</w:t>
      </w:r>
      <w:r w:rsidR="00B976A6">
        <w:rPr>
          <w:lang w:eastAsia="zh-CN"/>
        </w:rPr>
        <w:t>s</w:t>
      </w:r>
      <w:r w:rsidR="00A84130">
        <w:rPr>
          <w:lang w:eastAsia="zh-CN"/>
        </w:rPr>
        <w:t>. It can also be</w:t>
      </w:r>
      <w:r>
        <w:rPr>
          <w:lang w:eastAsia="zh-CN"/>
        </w:rPr>
        <w:t xml:space="preserve"> hopping from cell to cell</w:t>
      </w:r>
      <w:r w:rsidR="00B976A6">
        <w:rPr>
          <w:lang w:eastAsia="zh-CN"/>
        </w:rPr>
        <w:t>. However, only under the circumstances that the ERPE of PT-RS is different from PDSCH, i.e., PT-RS power boosting, will such an offset between cells be able to reduce the inter-cell interference. Otherwise, using a cell-specific sequence for PT-RS can randomize the interference in an easier way.</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5"/>
        <w:gridCol w:w="665"/>
        <w:gridCol w:w="664"/>
        <w:gridCol w:w="665"/>
        <w:gridCol w:w="665"/>
        <w:gridCol w:w="665"/>
        <w:gridCol w:w="665"/>
        <w:gridCol w:w="664"/>
        <w:gridCol w:w="665"/>
        <w:gridCol w:w="665"/>
        <w:gridCol w:w="665"/>
        <w:gridCol w:w="665"/>
        <w:gridCol w:w="665"/>
      </w:tblGrid>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1</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r>
    </w:tbl>
    <w:p w:rsidR="004F451C" w:rsidRDefault="004F451C" w:rsidP="004F451C">
      <w:pPr>
        <w:pStyle w:val="a5"/>
        <w:rPr>
          <w:lang w:eastAsia="zh-CN"/>
        </w:rPr>
      </w:pPr>
      <w:bookmarkStart w:id="2" w:name="_Ref489614954"/>
      <w:r>
        <w:t xml:space="preserve">Figure </w:t>
      </w:r>
      <w:r w:rsidR="00E6228F">
        <w:fldChar w:fldCharType="begin"/>
      </w:r>
      <w:r w:rsidR="00E6228F">
        <w:instrText xml:space="preserve"> SEQ Figure \* ARABIC </w:instrText>
      </w:r>
      <w:r w:rsidR="00E6228F">
        <w:fldChar w:fldCharType="separate"/>
      </w:r>
      <w:r>
        <w:rPr>
          <w:noProof/>
        </w:rPr>
        <w:t>1</w:t>
      </w:r>
      <w:r w:rsidR="00E6228F">
        <w:rPr>
          <w:noProof/>
        </w:rPr>
        <w:fldChar w:fldCharType="end"/>
      </w:r>
      <w:bookmarkEnd w:id="2"/>
      <w:r>
        <w:t xml:space="preserve"> PT-RS mapping under DMRS configuration type 1</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5"/>
        <w:gridCol w:w="665"/>
        <w:gridCol w:w="664"/>
        <w:gridCol w:w="665"/>
        <w:gridCol w:w="665"/>
        <w:gridCol w:w="665"/>
        <w:gridCol w:w="665"/>
        <w:gridCol w:w="664"/>
        <w:gridCol w:w="665"/>
        <w:gridCol w:w="665"/>
        <w:gridCol w:w="665"/>
        <w:gridCol w:w="665"/>
        <w:gridCol w:w="665"/>
      </w:tblGrid>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4/5</w:t>
            </w: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3</w:t>
            </w: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365F91" w:themeFill="accent1" w:themeFillShade="BF"/>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0000"/>
            <w:vAlign w:val="center"/>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2//3</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2</w:t>
            </w: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1</w:t>
            </w: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4F451C" w:rsidRPr="00C1103E" w:rsidRDefault="004F451C" w:rsidP="00D140CC">
            <w:pPr>
              <w:pStyle w:val="TH"/>
              <w:spacing w:before="0" w:after="0"/>
              <w:rPr>
                <w:rFonts w:ascii="Times New Roman" w:hAnsi="Times New Roman"/>
                <w:b w:val="0"/>
                <w:sz w:val="12"/>
              </w:rPr>
            </w:pPr>
          </w:p>
        </w:tc>
      </w:tr>
      <w:tr w:rsidR="004F451C" w:rsidRPr="00C1103E" w:rsidTr="00D140CC">
        <w:trPr>
          <w:jc w:val="center"/>
        </w:trPr>
        <w:tc>
          <w:tcPr>
            <w:tcW w:w="66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0/1</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r w:rsidRPr="00C1103E">
              <w:rPr>
                <w:rFonts w:ascii="Times New Roman" w:hAnsi="Times New Roman"/>
                <w:b w:val="0"/>
                <w:sz w:val="12"/>
              </w:rPr>
              <w:t>0</w:t>
            </w: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c>
          <w:tcPr>
            <w:tcW w:w="6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F451C" w:rsidRPr="00C1103E" w:rsidRDefault="004F451C" w:rsidP="00D140CC">
            <w:pPr>
              <w:pStyle w:val="TH"/>
              <w:spacing w:before="0" w:after="0"/>
              <w:rPr>
                <w:rFonts w:ascii="Times New Roman" w:hAnsi="Times New Roman"/>
                <w:b w:val="0"/>
                <w:sz w:val="12"/>
              </w:rPr>
            </w:pPr>
          </w:p>
        </w:tc>
      </w:tr>
    </w:tbl>
    <w:p w:rsidR="004F451C" w:rsidRDefault="004F451C" w:rsidP="004F451C">
      <w:pPr>
        <w:pStyle w:val="a5"/>
        <w:rPr>
          <w:lang w:eastAsia="zh-CN"/>
        </w:rPr>
      </w:pPr>
      <w:bookmarkStart w:id="3" w:name="_Ref489614964"/>
      <w:r>
        <w:t xml:space="preserve">Figure </w:t>
      </w:r>
      <w:r w:rsidR="00E6228F">
        <w:fldChar w:fldCharType="begin"/>
      </w:r>
      <w:r w:rsidR="00E6228F">
        <w:instrText xml:space="preserve"> SEQ Figure \* ARABIC </w:instrText>
      </w:r>
      <w:r w:rsidR="00E6228F">
        <w:fldChar w:fldCharType="separate"/>
      </w:r>
      <w:r>
        <w:rPr>
          <w:noProof/>
        </w:rPr>
        <w:t>2</w:t>
      </w:r>
      <w:r w:rsidR="00E6228F">
        <w:rPr>
          <w:noProof/>
        </w:rPr>
        <w:fldChar w:fldCharType="end"/>
      </w:r>
      <w:bookmarkEnd w:id="3"/>
      <w:r>
        <w:t xml:space="preserve"> PT-RS mapping under DMRS configuration type 2</w:t>
      </w:r>
    </w:p>
    <w:p w:rsidR="004F451C" w:rsidRDefault="00847701" w:rsidP="004F451C">
      <w:pPr>
        <w:rPr>
          <w:lang w:eastAsia="zh-CN"/>
        </w:rPr>
      </w:pPr>
      <w:r>
        <w:rPr>
          <w:lang w:eastAsia="zh-CN"/>
        </w:rPr>
        <w:t>Meanwhile, when the collision between CSI-RS and PT-RS is taken into account, same PT-RS subcarrier across cell with the same CSI-RS resource mapping in the opposite direction</w:t>
      </w:r>
      <w:r w:rsidR="000E6090">
        <w:rPr>
          <w:lang w:eastAsia="zh-CN"/>
        </w:rPr>
        <w:t xml:space="preserve"> to PT-RS is beneficial to reduce the configuration complexity. For example, when PT-RS is mapped on the lower subcarriers, CSI-RS from the serving cell and the interfering cell can be both configured in the upper subcarriers. Therefore we slightly prefer fixed PT-RS position with associated DMRS ports.</w:t>
      </w:r>
    </w:p>
    <w:p w:rsidR="000E6090" w:rsidRPr="000E6090" w:rsidRDefault="000E6090" w:rsidP="000E6090">
      <w:pPr>
        <w:rPr>
          <w:i/>
          <w:lang w:eastAsia="zh-CN"/>
        </w:rPr>
      </w:pPr>
      <w:r>
        <w:rPr>
          <w:b/>
          <w:i/>
          <w:lang w:eastAsia="zh-CN"/>
        </w:rPr>
        <w:t xml:space="preserve">Proposal 1: </w:t>
      </w:r>
      <w:r w:rsidR="0059750C">
        <w:rPr>
          <w:i/>
          <w:lang w:eastAsia="zh-CN"/>
        </w:rPr>
        <w:t>Regarding the subcarrier mapping of PT-RS within an RB, s</w:t>
      </w:r>
      <w:r>
        <w:rPr>
          <w:i/>
          <w:lang w:eastAsia="zh-CN"/>
        </w:rPr>
        <w:t>upport for CP-OFDM</w:t>
      </w:r>
    </w:p>
    <w:p w:rsidR="00847701" w:rsidRDefault="000E6090" w:rsidP="000E6090">
      <w:pPr>
        <w:rPr>
          <w:i/>
          <w:lang w:eastAsia="zh-CN"/>
        </w:rPr>
      </w:pPr>
      <w:r w:rsidRPr="000E6090">
        <w:rPr>
          <w:rFonts w:hint="eastAsia"/>
          <w:i/>
          <w:lang w:eastAsia="zh-CN"/>
        </w:rPr>
        <w:t>–</w:t>
      </w:r>
      <w:r w:rsidRPr="000E6090">
        <w:rPr>
          <w:i/>
          <w:lang w:eastAsia="zh-CN"/>
        </w:rPr>
        <w:tab/>
        <w:t>Alt.4 Each DMRS port maps PT-RS to a different subcarrier by a specified rule</w:t>
      </w:r>
    </w:p>
    <w:p w:rsidR="006A1351" w:rsidRPr="000E6090" w:rsidRDefault="006A1351" w:rsidP="000E6090">
      <w:pPr>
        <w:rPr>
          <w:i/>
          <w:lang w:eastAsia="zh-CN"/>
        </w:rPr>
      </w:pPr>
    </w:p>
    <w:p w:rsidR="004F451C" w:rsidRDefault="004F451C" w:rsidP="004F451C">
      <w:pPr>
        <w:pStyle w:val="2"/>
        <w:rPr>
          <w:lang w:eastAsia="zh-CN"/>
        </w:rPr>
      </w:pPr>
      <w:r>
        <w:rPr>
          <w:lang w:eastAsia="zh-CN"/>
        </w:rPr>
        <w:t>RB mapping of PT-RS when FD density is less than 1</w:t>
      </w:r>
    </w:p>
    <w:p w:rsidR="004F451C" w:rsidRDefault="000E6090" w:rsidP="004F451C">
      <w:pPr>
        <w:rPr>
          <w:lang w:eastAsia="zh-CN"/>
        </w:rPr>
      </w:pPr>
      <w:r>
        <w:rPr>
          <w:lang w:eastAsia="zh-CN"/>
        </w:rPr>
        <w:t xml:space="preserve">The RB-level offset is beneficial when PT-RS and CSI-RS are both configured with density less than 1. However, whether to shift PT-RS or CSI-RS needs to be discussed. </w:t>
      </w:r>
      <w:r w:rsidR="00A84130">
        <w:rPr>
          <w:lang w:eastAsia="zh-CN"/>
        </w:rPr>
        <w:t>Even i</w:t>
      </w:r>
      <w:r>
        <w:rPr>
          <w:lang w:eastAsia="zh-CN"/>
        </w:rPr>
        <w:t>f CSI-RS configuration is less flexible, which means that CSI-RS offset is not possible, shifting PT-RS can also be achieve by frequency domain allocation of PDSCH/PUSCH</w:t>
      </w:r>
      <w:r w:rsidR="0059750C">
        <w:rPr>
          <w:lang w:eastAsia="zh-CN"/>
        </w:rPr>
        <w:t xml:space="preserve">. As for MU-MIMO pairing, UEs allocated with different DMRS ports already have non-overlapping PT-RS based on the discussion in Section </w:t>
      </w:r>
      <w:r w:rsidR="0059750C">
        <w:rPr>
          <w:lang w:eastAsia="zh-CN"/>
        </w:rPr>
        <w:fldChar w:fldCharType="begin"/>
      </w:r>
      <w:r w:rsidR="0059750C">
        <w:rPr>
          <w:lang w:eastAsia="zh-CN"/>
        </w:rPr>
        <w:instrText xml:space="preserve"> REF _Ref494376608 \r \h </w:instrText>
      </w:r>
      <w:r w:rsidR="0059750C">
        <w:rPr>
          <w:lang w:eastAsia="zh-CN"/>
        </w:rPr>
      </w:r>
      <w:r w:rsidR="0059750C">
        <w:rPr>
          <w:lang w:eastAsia="zh-CN"/>
        </w:rPr>
        <w:fldChar w:fldCharType="separate"/>
      </w:r>
      <w:r w:rsidR="0059750C">
        <w:rPr>
          <w:lang w:eastAsia="zh-CN"/>
        </w:rPr>
        <w:t>2.1</w:t>
      </w:r>
      <w:r w:rsidR="0059750C">
        <w:rPr>
          <w:lang w:eastAsia="zh-CN"/>
        </w:rPr>
        <w:fldChar w:fldCharType="end"/>
      </w:r>
      <w:r w:rsidR="0059750C">
        <w:rPr>
          <w:lang w:eastAsia="zh-CN"/>
        </w:rPr>
        <w:t>.</w:t>
      </w:r>
    </w:p>
    <w:p w:rsidR="006A1351" w:rsidRDefault="006A1351" w:rsidP="006A1351">
      <w:pPr>
        <w:rPr>
          <w:i/>
          <w:lang w:eastAsia="zh-CN"/>
        </w:rPr>
      </w:pPr>
      <w:r>
        <w:rPr>
          <w:b/>
          <w:i/>
          <w:lang w:eastAsia="zh-CN"/>
        </w:rPr>
        <w:t xml:space="preserve">Proposal 2: </w:t>
      </w:r>
      <w:r>
        <w:rPr>
          <w:i/>
          <w:lang w:eastAsia="zh-CN"/>
        </w:rPr>
        <w:t>Regarding the RB mapping of PT-RS, support for CP-OFDM</w:t>
      </w:r>
    </w:p>
    <w:p w:rsidR="006A1351" w:rsidRPr="006F3CB3" w:rsidRDefault="006A1351" w:rsidP="006A1351">
      <w:pPr>
        <w:pStyle w:val="af"/>
        <w:numPr>
          <w:ilvl w:val="0"/>
          <w:numId w:val="43"/>
        </w:numPr>
        <w:autoSpaceDE/>
        <w:autoSpaceDN/>
        <w:adjustRightInd/>
        <w:snapToGrid/>
        <w:spacing w:after="0"/>
        <w:ind w:firstLineChars="0"/>
        <w:contextualSpacing/>
        <w:jc w:val="left"/>
        <w:rPr>
          <w:color w:val="000000"/>
          <w:lang w:eastAsia="zh-CN"/>
        </w:rPr>
      </w:pPr>
      <w:r w:rsidRPr="006F3CB3">
        <w:rPr>
          <w:color w:val="000000"/>
        </w:rPr>
        <w:t>Alt.1: RB offset is fixed (e.g., RB offset=0) in Rel. 15</w:t>
      </w:r>
    </w:p>
    <w:p w:rsidR="0059750C" w:rsidRPr="0059750C" w:rsidRDefault="0059750C" w:rsidP="004F451C">
      <w:pPr>
        <w:rPr>
          <w:i/>
          <w:lang w:eastAsia="zh-CN"/>
        </w:rPr>
      </w:pPr>
    </w:p>
    <w:p w:rsidR="00930D0E" w:rsidRDefault="00930D0E" w:rsidP="00930D0E">
      <w:pPr>
        <w:pStyle w:val="1"/>
        <w:rPr>
          <w:lang w:eastAsia="zh-CN"/>
        </w:rPr>
      </w:pPr>
      <w:r>
        <w:rPr>
          <w:lang w:eastAsia="zh-CN"/>
        </w:rPr>
        <w:lastRenderedPageBreak/>
        <w:t>Frequency domain density</w:t>
      </w:r>
    </w:p>
    <w:p w:rsidR="0090233E" w:rsidRDefault="006859A3" w:rsidP="0090233E">
      <w:pPr>
        <w:pStyle w:val="2"/>
        <w:rPr>
          <w:lang w:eastAsia="zh-CN"/>
        </w:rPr>
      </w:pPr>
      <w:r>
        <w:rPr>
          <w:lang w:eastAsia="zh-CN"/>
        </w:rPr>
        <w:t>Refinement to the density configuration</w:t>
      </w:r>
    </w:p>
    <w:p w:rsidR="00930D0E" w:rsidRDefault="00F37293" w:rsidP="00930D0E">
      <w:pPr>
        <w:rPr>
          <w:lang w:eastAsia="zh-CN"/>
        </w:rPr>
      </w:pPr>
      <w:r>
        <w:rPr>
          <w:lang w:eastAsia="zh-CN"/>
        </w:rPr>
        <w:t>It was proposed in the way forward</w:t>
      </w:r>
      <w:r w:rsidR="00504456">
        <w:rPr>
          <w:lang w:eastAsia="zh-CN"/>
        </w:rPr>
        <w:fldChar w:fldCharType="begin"/>
      </w:r>
      <w:r w:rsidR="00504456">
        <w:rPr>
          <w:lang w:eastAsia="zh-CN"/>
        </w:rPr>
        <w:instrText xml:space="preserve"> REF _Ref494378786 \r \h </w:instrText>
      </w:r>
      <w:r w:rsidR="00504456">
        <w:rPr>
          <w:lang w:eastAsia="zh-CN"/>
        </w:rPr>
      </w:r>
      <w:r w:rsidR="00504456">
        <w:rPr>
          <w:lang w:eastAsia="zh-CN"/>
        </w:rPr>
        <w:fldChar w:fldCharType="separate"/>
      </w:r>
      <w:r w:rsidR="00504456">
        <w:rPr>
          <w:lang w:eastAsia="zh-CN"/>
        </w:rPr>
        <w:t>[2]</w:t>
      </w:r>
      <w:r w:rsidR="00504456">
        <w:rPr>
          <w:lang w:eastAsia="zh-CN"/>
        </w:rPr>
        <w:fldChar w:fldCharType="end"/>
      </w:r>
      <w:r>
        <w:rPr>
          <w:lang w:eastAsia="zh-CN"/>
        </w:rPr>
        <w:t xml:space="preserve"> that it may bring a decrease in number of PT-RS subcarriers when the bandwidth increases at the threshold RB. A fixed mapping of (P)RB containing PT-RS is also proposed in</w:t>
      </w:r>
      <w:r w:rsidR="00504456">
        <w:rPr>
          <w:lang w:eastAsia="zh-CN"/>
        </w:rPr>
        <w:t xml:space="preserve"> </w:t>
      </w:r>
      <w:r w:rsidR="00504456">
        <w:rPr>
          <w:lang w:eastAsia="zh-CN"/>
        </w:rPr>
        <w:fldChar w:fldCharType="begin"/>
      </w:r>
      <w:r w:rsidR="00504456">
        <w:rPr>
          <w:lang w:eastAsia="zh-CN"/>
        </w:rPr>
        <w:instrText xml:space="preserve"> REF _Ref494378786 \r \h </w:instrText>
      </w:r>
      <w:r w:rsidR="00504456">
        <w:rPr>
          <w:lang w:eastAsia="zh-CN"/>
        </w:rPr>
      </w:r>
      <w:r w:rsidR="00504456">
        <w:rPr>
          <w:lang w:eastAsia="zh-CN"/>
        </w:rPr>
        <w:fldChar w:fldCharType="separate"/>
      </w:r>
      <w:r w:rsidR="00504456">
        <w:rPr>
          <w:lang w:eastAsia="zh-CN"/>
        </w:rPr>
        <w:t>[2]</w:t>
      </w:r>
      <w:r w:rsidR="00504456">
        <w:rPr>
          <w:lang w:eastAsia="zh-CN"/>
        </w:rPr>
        <w:fldChar w:fldCharType="end"/>
      </w:r>
      <w:r>
        <w:rPr>
          <w:lang w:eastAsia="zh-CN"/>
        </w:rPr>
        <w:t xml:space="preserve">, shown in </w:t>
      </w:r>
      <w:r>
        <w:rPr>
          <w:lang w:eastAsia="zh-CN"/>
        </w:rPr>
        <w:fldChar w:fldCharType="begin"/>
      </w:r>
      <w:r>
        <w:rPr>
          <w:lang w:eastAsia="zh-CN"/>
        </w:rPr>
        <w:instrText xml:space="preserve"> REF _Ref492461871 \h </w:instrText>
      </w:r>
      <w:r>
        <w:rPr>
          <w:lang w:eastAsia="zh-CN"/>
        </w:rPr>
      </w:r>
      <w:r>
        <w:rPr>
          <w:lang w:eastAsia="zh-CN"/>
        </w:rPr>
        <w:fldChar w:fldCharType="separate"/>
      </w:r>
      <w:r w:rsidR="00504456">
        <w:t xml:space="preserve">Figure </w:t>
      </w:r>
      <w:r w:rsidR="00504456">
        <w:rPr>
          <w:noProof/>
        </w:rPr>
        <w:t>1</w:t>
      </w:r>
      <w:r>
        <w:rPr>
          <w:lang w:eastAsia="zh-CN"/>
        </w:rPr>
        <w:fldChar w:fldCharType="end"/>
      </w:r>
      <w:r w:rsidR="009868A1">
        <w:rPr>
          <w:lang w:eastAsia="zh-CN"/>
        </w:rPr>
        <w:t>.</w:t>
      </w:r>
    </w:p>
    <w:p w:rsidR="003F23D6" w:rsidRDefault="003F23D6" w:rsidP="00930D0E">
      <w:pPr>
        <w:rPr>
          <w:lang w:eastAsia="zh-CN"/>
        </w:rPr>
      </w:pPr>
    </w:p>
    <w:p w:rsidR="00F37293" w:rsidRDefault="00F37293" w:rsidP="00F37293">
      <w:pPr>
        <w:keepNext/>
        <w:jc w:val="center"/>
      </w:pPr>
      <w:r>
        <w:rPr>
          <w:noProof/>
          <w:lang w:eastAsia="zh-CN"/>
        </w:rPr>
        <w:drawing>
          <wp:inline distT="0" distB="0" distL="0" distR="0" wp14:anchorId="2303ABFB" wp14:editId="5EE97A86">
            <wp:extent cx="3848100" cy="2782510"/>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8"/>
                    <a:stretch>
                      <a:fillRect/>
                    </a:stretch>
                  </pic:blipFill>
                  <pic:spPr>
                    <a:xfrm>
                      <a:off x="0" y="0"/>
                      <a:ext cx="3856552" cy="2788621"/>
                    </a:xfrm>
                    <a:prstGeom prst="rect">
                      <a:avLst/>
                    </a:prstGeom>
                  </pic:spPr>
                </pic:pic>
              </a:graphicData>
            </a:graphic>
          </wp:inline>
        </w:drawing>
      </w:r>
    </w:p>
    <w:p w:rsidR="00930D0E" w:rsidRDefault="00F37293" w:rsidP="00F37293">
      <w:pPr>
        <w:pStyle w:val="a5"/>
      </w:pPr>
      <w:bookmarkStart w:id="4" w:name="_Ref492461871"/>
      <w:r>
        <w:t xml:space="preserve">Figure </w:t>
      </w:r>
      <w:r w:rsidR="00E6228F">
        <w:fldChar w:fldCharType="begin"/>
      </w:r>
      <w:r w:rsidR="00E6228F">
        <w:instrText xml:space="preserve"> SEQ Figure \* ARABIC </w:instrText>
      </w:r>
      <w:r w:rsidR="00E6228F">
        <w:fldChar w:fldCharType="separate"/>
      </w:r>
      <w:r>
        <w:rPr>
          <w:noProof/>
        </w:rPr>
        <w:t>1</w:t>
      </w:r>
      <w:r w:rsidR="00E6228F">
        <w:rPr>
          <w:noProof/>
        </w:rPr>
        <w:fldChar w:fldCharType="end"/>
      </w:r>
      <w:bookmarkEnd w:id="4"/>
      <w:r>
        <w:t xml:space="preserve"> Mapping of (P)RBs containing PT-RS</w:t>
      </w:r>
    </w:p>
    <w:p w:rsidR="003F23D6" w:rsidRDefault="003F23D6" w:rsidP="00F37293"/>
    <w:p w:rsidR="00F37293" w:rsidRDefault="009868A1" w:rsidP="00F37293">
      <w:r>
        <w:t xml:space="preserve">The problem of this </w:t>
      </w:r>
      <w:r w:rsidR="0090233E">
        <w:t>figure</w:t>
      </w:r>
      <w:r>
        <w:t xml:space="preserve"> is that it cannot be adjusted accordingly when the threshold bandwidth is reconfigured. However, the underlying principle can be discussed. To provide a generalized scheme to suit the configurability of table of the frequency domain density, a maximum number of subcarriers </w:t>
      </w:r>
      <w:r w:rsidR="0090233E">
        <w:t>corresponding to a</w:t>
      </w:r>
      <w:r>
        <w:t xml:space="preserve"> density can be introduced and </w:t>
      </w:r>
      <w:r w:rsidR="0024026E">
        <w:t xml:space="preserve">may </w:t>
      </w:r>
      <w:r>
        <w:t>be configured by higher layer</w:t>
      </w:r>
      <w:r w:rsidR="0090233E">
        <w:t>s</w:t>
      </w:r>
      <w:r w:rsidR="0024026E">
        <w:t>.</w:t>
      </w:r>
    </w:p>
    <w:p w:rsidR="009868A1" w:rsidRDefault="009868A1" w:rsidP="00F37293">
      <w:r>
        <w:t>For example, by default, UE can assume that the maximum number of subcarriers is 4 for all the other density except the density with the minimum non-zero value</w:t>
      </w:r>
      <w:r w:rsidR="00846DD8">
        <w:t>, i.e., ¼ in the current working assumption</w:t>
      </w:r>
      <w:r>
        <w:t xml:space="preserve">. To be more specific, the table for frequency domain density can be found in </w:t>
      </w:r>
      <w:r>
        <w:fldChar w:fldCharType="begin"/>
      </w:r>
      <w:r>
        <w:instrText xml:space="preserve"> REF _Ref492462440 \h </w:instrText>
      </w:r>
      <w:r>
        <w:fldChar w:fldCharType="separate"/>
      </w:r>
      <w:r w:rsidR="00A84130">
        <w:t xml:space="preserve">Table </w:t>
      </w:r>
      <w:r w:rsidR="00A84130">
        <w:rPr>
          <w:noProof/>
        </w:rPr>
        <w:t>1</w:t>
      </w:r>
      <w:r>
        <w:fldChar w:fldCharType="end"/>
      </w:r>
      <w:r>
        <w:t>.</w:t>
      </w:r>
    </w:p>
    <w:p w:rsidR="009868A1" w:rsidRDefault="009868A1" w:rsidP="009868A1">
      <w:pPr>
        <w:pStyle w:val="a5"/>
        <w:keepNext/>
      </w:pPr>
      <w:bookmarkStart w:id="5" w:name="_Ref492462440"/>
      <w:r>
        <w:t xml:space="preserve">Table </w:t>
      </w:r>
      <w:r w:rsidR="00E6228F">
        <w:fldChar w:fldCharType="begin"/>
      </w:r>
      <w:r w:rsidR="00E6228F">
        <w:instrText xml:space="preserve"> SEQ Table \* ARABIC </w:instrText>
      </w:r>
      <w:r w:rsidR="00E6228F">
        <w:fldChar w:fldCharType="separate"/>
      </w:r>
      <w:r w:rsidR="00A84130">
        <w:rPr>
          <w:noProof/>
        </w:rPr>
        <w:t>1</w:t>
      </w:r>
      <w:r w:rsidR="00E6228F">
        <w:rPr>
          <w:noProof/>
        </w:rPr>
        <w:fldChar w:fldCharType="end"/>
      </w:r>
      <w:bookmarkEnd w:id="5"/>
      <w:r>
        <w:t xml:space="preserve"> Proposed frequency domain density with the maximum number of subcarriers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gridCol w:w="2200"/>
      </w:tblGrid>
      <w:tr w:rsidR="009868A1" w:rsidRPr="0001539D" w:rsidTr="009868A1">
        <w:trPr>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b/>
                <w:bCs/>
                <w:sz w:val="18"/>
              </w:rPr>
              <w:t>Contiguous Scheduled BW</w:t>
            </w:r>
          </w:p>
        </w:tc>
        <w:tc>
          <w:tcPr>
            <w:tcW w:w="2200" w:type="dxa"/>
            <w:shd w:val="clear" w:color="auto" w:fill="auto"/>
            <w:vAlign w:val="center"/>
            <w:hideMark/>
          </w:tcPr>
          <w:p w:rsidR="009868A1" w:rsidRPr="006A0C1E" w:rsidRDefault="009868A1" w:rsidP="009868A1">
            <w:pPr>
              <w:jc w:val="center"/>
              <w:rPr>
                <w:sz w:val="18"/>
                <w:lang w:val="sv-SE"/>
              </w:rPr>
            </w:pPr>
            <w:r w:rsidRPr="006A0C1E">
              <w:rPr>
                <w:b/>
                <w:bCs/>
                <w:sz w:val="18"/>
              </w:rPr>
              <w:t>Frequency density (1/n)</w:t>
            </w:r>
          </w:p>
        </w:tc>
        <w:tc>
          <w:tcPr>
            <w:tcW w:w="2200" w:type="dxa"/>
            <w:vAlign w:val="center"/>
          </w:tcPr>
          <w:p w:rsidR="009868A1" w:rsidRPr="006A0C1E" w:rsidRDefault="009868A1" w:rsidP="009868A1">
            <w:pPr>
              <w:jc w:val="center"/>
              <w:rPr>
                <w:b/>
                <w:bCs/>
                <w:sz w:val="18"/>
              </w:rPr>
            </w:pPr>
            <w:r>
              <w:rPr>
                <w:b/>
                <w:bCs/>
                <w:sz w:val="18"/>
              </w:rPr>
              <w:t>Maximum number of subcarriers</w:t>
            </w:r>
          </w:p>
        </w:tc>
      </w:tr>
      <w:tr w:rsidR="009868A1" w:rsidRPr="0001539D" w:rsidTr="009868A1">
        <w:trPr>
          <w:trHeight w:val="241"/>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sz w:val="18"/>
              </w:rPr>
              <w:t>N</w:t>
            </w:r>
            <w:r w:rsidRPr="006A0C1E">
              <w:rPr>
                <w:sz w:val="18"/>
                <w:vertAlign w:val="subscript"/>
              </w:rPr>
              <w:t>RB</w:t>
            </w:r>
            <w:r w:rsidRPr="006A0C1E">
              <w:rPr>
                <w:sz w:val="18"/>
              </w:rPr>
              <w:t xml:space="preserve"> &lt; [3 or 1]</w:t>
            </w:r>
          </w:p>
        </w:tc>
        <w:tc>
          <w:tcPr>
            <w:tcW w:w="2200" w:type="dxa"/>
            <w:shd w:val="clear" w:color="auto" w:fill="auto"/>
            <w:vAlign w:val="center"/>
            <w:hideMark/>
          </w:tcPr>
          <w:p w:rsidR="009868A1" w:rsidRPr="006A0C1E" w:rsidRDefault="009868A1" w:rsidP="009868A1">
            <w:pPr>
              <w:jc w:val="center"/>
              <w:rPr>
                <w:sz w:val="18"/>
                <w:lang w:val="sv-SE"/>
              </w:rPr>
            </w:pPr>
            <w:r w:rsidRPr="006A0C1E">
              <w:rPr>
                <w:sz w:val="18"/>
              </w:rPr>
              <w:t>No PT-RS</w:t>
            </w:r>
          </w:p>
        </w:tc>
        <w:tc>
          <w:tcPr>
            <w:tcW w:w="2200" w:type="dxa"/>
            <w:vAlign w:val="center"/>
          </w:tcPr>
          <w:p w:rsidR="009868A1" w:rsidRPr="006A0C1E" w:rsidRDefault="009868A1" w:rsidP="009868A1">
            <w:pPr>
              <w:jc w:val="center"/>
              <w:rPr>
                <w:sz w:val="18"/>
              </w:rPr>
            </w:pPr>
            <w:r>
              <w:rPr>
                <w:sz w:val="18"/>
              </w:rPr>
              <w:t>0</w:t>
            </w:r>
          </w:p>
        </w:tc>
      </w:tr>
      <w:tr w:rsidR="009868A1" w:rsidRPr="0001539D" w:rsidTr="009868A1">
        <w:trPr>
          <w:trHeight w:val="309"/>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sz w:val="18"/>
              </w:rPr>
              <w:t>[3 or 1]≤  N</w:t>
            </w:r>
            <w:r w:rsidRPr="006A0C1E">
              <w:rPr>
                <w:sz w:val="18"/>
                <w:vertAlign w:val="subscript"/>
              </w:rPr>
              <w:t>RB</w:t>
            </w:r>
            <w:r w:rsidRPr="006A0C1E">
              <w:rPr>
                <w:sz w:val="18"/>
              </w:rPr>
              <w:t xml:space="preserve"> &lt; [5]</w:t>
            </w:r>
          </w:p>
        </w:tc>
        <w:tc>
          <w:tcPr>
            <w:tcW w:w="2200" w:type="dxa"/>
            <w:shd w:val="clear" w:color="auto" w:fill="auto"/>
            <w:vAlign w:val="center"/>
            <w:hideMark/>
          </w:tcPr>
          <w:p w:rsidR="009868A1" w:rsidRPr="006A0C1E" w:rsidRDefault="009868A1" w:rsidP="009868A1">
            <w:pPr>
              <w:jc w:val="center"/>
              <w:rPr>
                <w:sz w:val="18"/>
                <w:lang w:val="sv-SE"/>
              </w:rPr>
            </w:pPr>
            <w:r w:rsidRPr="006A0C1E">
              <w:rPr>
                <w:sz w:val="18"/>
              </w:rPr>
              <w:t>[1]</w:t>
            </w:r>
          </w:p>
        </w:tc>
        <w:tc>
          <w:tcPr>
            <w:tcW w:w="2200" w:type="dxa"/>
            <w:vAlign w:val="center"/>
          </w:tcPr>
          <w:p w:rsidR="009868A1" w:rsidRPr="006A0C1E" w:rsidRDefault="009868A1" w:rsidP="009868A1">
            <w:pPr>
              <w:jc w:val="center"/>
              <w:rPr>
                <w:sz w:val="18"/>
              </w:rPr>
            </w:pPr>
            <w:r>
              <w:rPr>
                <w:sz w:val="18"/>
              </w:rPr>
              <w:t>4</w:t>
            </w:r>
          </w:p>
        </w:tc>
      </w:tr>
      <w:tr w:rsidR="009868A1" w:rsidRPr="0001539D" w:rsidTr="009868A1">
        <w:trPr>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sz w:val="18"/>
              </w:rPr>
              <w:t>[5]≤  N</w:t>
            </w:r>
            <w:r w:rsidRPr="006A0C1E">
              <w:rPr>
                <w:sz w:val="18"/>
                <w:vertAlign w:val="subscript"/>
              </w:rPr>
              <w:t>RB</w:t>
            </w:r>
            <w:r w:rsidRPr="006A0C1E">
              <w:rPr>
                <w:sz w:val="18"/>
              </w:rPr>
              <w:t xml:space="preserve"> &lt; [10]</w:t>
            </w:r>
          </w:p>
        </w:tc>
        <w:tc>
          <w:tcPr>
            <w:tcW w:w="2200" w:type="dxa"/>
            <w:shd w:val="clear" w:color="auto" w:fill="auto"/>
            <w:vAlign w:val="center"/>
            <w:hideMark/>
          </w:tcPr>
          <w:p w:rsidR="009868A1" w:rsidRPr="006A0C1E" w:rsidRDefault="009868A1" w:rsidP="009868A1">
            <w:pPr>
              <w:jc w:val="center"/>
              <w:rPr>
                <w:sz w:val="18"/>
              </w:rPr>
            </w:pPr>
            <w:r w:rsidRPr="006A0C1E">
              <w:rPr>
                <w:sz w:val="18"/>
              </w:rPr>
              <w:t>[1/2]</w:t>
            </w:r>
          </w:p>
        </w:tc>
        <w:tc>
          <w:tcPr>
            <w:tcW w:w="2200" w:type="dxa"/>
            <w:vAlign w:val="center"/>
          </w:tcPr>
          <w:p w:rsidR="009868A1" w:rsidRPr="006A0C1E" w:rsidRDefault="009868A1" w:rsidP="009868A1">
            <w:pPr>
              <w:jc w:val="center"/>
              <w:rPr>
                <w:sz w:val="18"/>
              </w:rPr>
            </w:pPr>
            <w:r>
              <w:rPr>
                <w:sz w:val="18"/>
              </w:rPr>
              <w:t>4</w:t>
            </w:r>
          </w:p>
        </w:tc>
      </w:tr>
      <w:tr w:rsidR="009868A1" w:rsidRPr="0001539D" w:rsidTr="009868A1">
        <w:trPr>
          <w:jc w:val="center"/>
        </w:trPr>
        <w:tc>
          <w:tcPr>
            <w:tcW w:w="3118" w:type="dxa"/>
            <w:shd w:val="clear" w:color="auto" w:fill="auto"/>
            <w:vAlign w:val="center"/>
          </w:tcPr>
          <w:p w:rsidR="009868A1" w:rsidRPr="006A0C1E" w:rsidRDefault="009868A1" w:rsidP="009868A1">
            <w:pPr>
              <w:jc w:val="center"/>
              <w:rPr>
                <w:sz w:val="18"/>
                <w:lang w:val="sv-SE"/>
              </w:rPr>
            </w:pPr>
            <w:r w:rsidRPr="006A0C1E">
              <w:rPr>
                <w:sz w:val="18"/>
              </w:rPr>
              <w:t>[10]≤  N</w:t>
            </w:r>
            <w:r w:rsidRPr="006A0C1E">
              <w:rPr>
                <w:sz w:val="18"/>
                <w:vertAlign w:val="subscript"/>
              </w:rPr>
              <w:t>RB</w:t>
            </w:r>
            <w:r w:rsidRPr="006A0C1E">
              <w:rPr>
                <w:sz w:val="18"/>
              </w:rPr>
              <w:t xml:space="preserve"> &lt; [15]</w:t>
            </w:r>
          </w:p>
        </w:tc>
        <w:tc>
          <w:tcPr>
            <w:tcW w:w="2200" w:type="dxa"/>
            <w:shd w:val="clear" w:color="auto" w:fill="auto"/>
            <w:vAlign w:val="center"/>
          </w:tcPr>
          <w:p w:rsidR="009868A1" w:rsidRPr="006A0C1E" w:rsidRDefault="009868A1" w:rsidP="009868A1">
            <w:pPr>
              <w:jc w:val="center"/>
              <w:rPr>
                <w:sz w:val="18"/>
                <w:lang w:val="sv-SE"/>
              </w:rPr>
            </w:pPr>
            <w:r w:rsidRPr="006A0C1E">
              <w:rPr>
                <w:sz w:val="18"/>
              </w:rPr>
              <w:t>[1/3]</w:t>
            </w:r>
          </w:p>
        </w:tc>
        <w:tc>
          <w:tcPr>
            <w:tcW w:w="2200" w:type="dxa"/>
            <w:vAlign w:val="center"/>
          </w:tcPr>
          <w:p w:rsidR="009868A1" w:rsidRPr="006A0C1E" w:rsidRDefault="009868A1" w:rsidP="009868A1">
            <w:pPr>
              <w:jc w:val="center"/>
              <w:rPr>
                <w:sz w:val="18"/>
              </w:rPr>
            </w:pPr>
            <w:r>
              <w:rPr>
                <w:sz w:val="18"/>
              </w:rPr>
              <w:t>4</w:t>
            </w:r>
          </w:p>
        </w:tc>
      </w:tr>
      <w:tr w:rsidR="009868A1" w:rsidRPr="0001539D" w:rsidTr="009868A1">
        <w:trPr>
          <w:jc w:val="center"/>
        </w:trPr>
        <w:tc>
          <w:tcPr>
            <w:tcW w:w="3118" w:type="dxa"/>
            <w:shd w:val="clear" w:color="auto" w:fill="auto"/>
            <w:vAlign w:val="center"/>
          </w:tcPr>
          <w:p w:rsidR="009868A1" w:rsidRPr="006A0C1E" w:rsidRDefault="009868A1" w:rsidP="009868A1">
            <w:pPr>
              <w:jc w:val="center"/>
              <w:rPr>
                <w:sz w:val="18"/>
              </w:rPr>
            </w:pPr>
            <w:r w:rsidRPr="006A0C1E">
              <w:rPr>
                <w:sz w:val="18"/>
              </w:rPr>
              <w:t>[15]≤ N</w:t>
            </w:r>
            <w:r w:rsidRPr="006A0C1E">
              <w:rPr>
                <w:sz w:val="18"/>
                <w:vertAlign w:val="subscript"/>
              </w:rPr>
              <w:t>RB</w:t>
            </w:r>
          </w:p>
        </w:tc>
        <w:tc>
          <w:tcPr>
            <w:tcW w:w="2200" w:type="dxa"/>
            <w:shd w:val="clear" w:color="auto" w:fill="auto"/>
            <w:vAlign w:val="center"/>
          </w:tcPr>
          <w:p w:rsidR="009868A1" w:rsidRPr="006A0C1E" w:rsidDel="00DA5DC4" w:rsidRDefault="009868A1" w:rsidP="009868A1">
            <w:pPr>
              <w:jc w:val="center"/>
              <w:rPr>
                <w:sz w:val="18"/>
              </w:rPr>
            </w:pPr>
            <w:r w:rsidRPr="006A0C1E">
              <w:rPr>
                <w:sz w:val="18"/>
              </w:rPr>
              <w:t>1/4</w:t>
            </w:r>
          </w:p>
        </w:tc>
        <w:tc>
          <w:tcPr>
            <w:tcW w:w="2200" w:type="dxa"/>
            <w:vAlign w:val="center"/>
          </w:tcPr>
          <w:p w:rsidR="009868A1" w:rsidRPr="006A0C1E" w:rsidRDefault="009868A1" w:rsidP="009868A1">
            <w:pPr>
              <w:jc w:val="center"/>
              <w:rPr>
                <w:sz w:val="18"/>
              </w:rPr>
            </w:pPr>
            <w:r>
              <w:rPr>
                <w:sz w:val="18"/>
              </w:rPr>
              <w:t>-</w:t>
            </w:r>
          </w:p>
        </w:tc>
      </w:tr>
    </w:tbl>
    <w:p w:rsidR="009868A1" w:rsidRDefault="009868A1" w:rsidP="00F37293"/>
    <w:p w:rsidR="006A1351" w:rsidRDefault="006A1351" w:rsidP="006A1351">
      <w:pPr>
        <w:rPr>
          <w:i/>
        </w:rPr>
      </w:pPr>
      <w:r>
        <w:rPr>
          <w:b/>
          <w:i/>
        </w:rPr>
        <w:t>Proposal 3:</w:t>
      </w:r>
      <w:r>
        <w:rPr>
          <w:i/>
        </w:rPr>
        <w:t xml:space="preserve"> Consider adopting the maximum number of subcarriers in </w:t>
      </w:r>
      <w:r w:rsidR="00A84130">
        <w:rPr>
          <w:i/>
        </w:rPr>
        <w:t xml:space="preserve">the </w:t>
      </w:r>
      <w:r>
        <w:rPr>
          <w:i/>
        </w:rPr>
        <w:t xml:space="preserve">table of the PT-RS frequency domain density. </w:t>
      </w:r>
    </w:p>
    <w:p w:rsidR="006A1351" w:rsidRPr="00E348C0" w:rsidRDefault="006A1351" w:rsidP="00F37293">
      <w:pPr>
        <w:rPr>
          <w:i/>
        </w:rPr>
      </w:pPr>
    </w:p>
    <w:p w:rsidR="006859A3" w:rsidRDefault="006859A3" w:rsidP="006859A3">
      <w:pPr>
        <w:pStyle w:val="2"/>
      </w:pPr>
      <w:r>
        <w:lastRenderedPageBreak/>
        <w:t>Default values in the density table</w:t>
      </w:r>
    </w:p>
    <w:p w:rsidR="00014D9C" w:rsidRDefault="0024026E" w:rsidP="00F37293">
      <w:r>
        <w:t>For CPE compensation, receiver needs to perform differential operation between two phase estimates in two</w:t>
      </w:r>
      <w:r w:rsidR="00A84130">
        <w:t xml:space="preserve"> OFDM</w:t>
      </w:r>
      <w:r>
        <w:t xml:space="preserve"> symbols having PT-RS or associated DMRS. </w:t>
      </w:r>
      <w:r w:rsidR="00014D9C">
        <w:t>For example, assum</w:t>
      </w:r>
      <w:r w:rsidR="00BE430D">
        <w:t>e that</w:t>
      </w:r>
      <w:r w:rsidR="00014D9C">
        <w:t xml:space="preserve"> </w:t>
      </w:r>
      <m:oMath>
        <m:sSub>
          <m:sSubPr>
            <m:ctrlPr>
              <w:rPr>
                <w:rFonts w:ascii="Cambria Math" w:hAnsi="Cambria Math"/>
                <w:i/>
              </w:rPr>
            </m:ctrlPr>
          </m:sSubPr>
          <m:e>
            <m:r>
              <m:rPr>
                <m:sty m:val="p"/>
              </m:rPr>
              <w:rPr>
                <w:rFonts w:ascii="Cambria Math" w:hAnsi="Cambria Math"/>
              </w:rPr>
              <m:t>Θ</m:t>
            </m:r>
          </m:e>
          <m:sub>
            <m:r>
              <w:rPr>
                <w:rFonts w:ascii="Cambria Math" w:hAnsi="Cambria Math"/>
              </w:rPr>
              <m:t>1</m:t>
            </m:r>
          </m:sub>
        </m:sSub>
      </m:oMath>
      <w:r w:rsidR="00014D9C">
        <w:t xml:space="preserve"> and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w:rPr>
                <w:rFonts w:ascii="Cambria Math" w:hAnsi="Cambria Math"/>
              </w:rPr>
              <m:t>2</m:t>
            </m:r>
          </m:sub>
        </m:sSub>
      </m:oMath>
      <w:r w:rsidR="00014D9C">
        <w:t xml:space="preserve"> are i.i.d. Gaussian random variable with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i</m:t>
                </m:r>
              </m:sub>
            </m:sSub>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e>
        </m:d>
      </m:oMath>
      <w:r w:rsidR="00014D9C">
        <w:t xml:space="preserve">, which represent the phase estimates from two symbols, where </w:t>
      </w:r>
      <m:oMath>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oMath>
      <w:r w:rsidR="00BE430D">
        <w:t xml:space="preserve"> is the noise variance.</w:t>
      </w:r>
      <w:r w:rsidR="00014D9C">
        <w:t xml:space="preserve"> </w:t>
      </w:r>
      <w:r w:rsidR="00BE430D">
        <w:t>W</w:t>
      </w:r>
      <w:r w:rsidR="00014D9C">
        <w:t xml:space="preserve">e need to use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Θ</m:t>
            </m:r>
          </m:e>
          <m:sub>
            <m:r>
              <w:rPr>
                <w:rFonts w:ascii="Cambria Math" w:hAnsi="Cambria Math"/>
              </w:rPr>
              <m:t>1</m:t>
            </m:r>
          </m:sub>
        </m:sSub>
      </m:oMath>
      <w:r w:rsidR="00014D9C">
        <w:t xml:space="preserve"> as the compensating CPE to the second symbol, and </w:t>
      </w:r>
      <m:oMath>
        <m:sSub>
          <m:sSubPr>
            <m:ctrlPr>
              <w:rPr>
                <w:rFonts w:ascii="Cambria Math" w:hAnsi="Cambria Math"/>
                <w:i/>
              </w:rPr>
            </m:ctrlPr>
          </m:sSubPr>
          <m:e>
            <m:r>
              <m:rPr>
                <m:sty m:val="p"/>
              </m:rPr>
              <w:rPr>
                <w:rFonts w:ascii="Cambria Math" w:hAnsi="Cambria Math"/>
              </w:rPr>
              <m:t>Θ</m:t>
            </m:r>
            <m:ctrlPr>
              <w:rPr>
                <w:rFonts w:ascii="Cambria Math" w:hAnsi="Cambria Math"/>
              </w:rPr>
            </m:ctrlP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Θ</m:t>
            </m:r>
          </m:e>
          <m:sub>
            <m:r>
              <w:rPr>
                <w:rFonts w:ascii="Cambria Math" w:hAnsi="Cambria Math"/>
              </w:rPr>
              <m:t>1</m:t>
            </m:r>
          </m:sub>
        </m:sSub>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1</m:t>
                </m:r>
              </m:sub>
            </m:sSub>
            <m:r>
              <w:rPr>
                <w:rFonts w:ascii="Cambria Math" w:hAnsi="Cambria Math"/>
              </w:rPr>
              <m:t xml:space="preserve">, </m:t>
            </m:r>
            <m:sSubSup>
              <m:sSubSupPr>
                <m:ctrlPr>
                  <w:rPr>
                    <w:rFonts w:ascii="Cambria Math" w:hAnsi="Cambria Math"/>
                    <w:i/>
                  </w:rPr>
                </m:ctrlPr>
              </m:sSubSupPr>
              <m:e>
                <m:r>
                  <w:rPr>
                    <w:rFonts w:ascii="Cambria Math" w:hAnsi="Cambria Math"/>
                  </w:rPr>
                  <m:t>σ</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2</m:t>
                </m:r>
              </m:sub>
              <m:sup>
                <m:r>
                  <w:rPr>
                    <w:rFonts w:ascii="Cambria Math" w:hAnsi="Cambria Math"/>
                  </w:rPr>
                  <m:t>2</m:t>
                </m:r>
              </m:sup>
            </m:sSubSup>
          </m:e>
        </m:d>
      </m:oMath>
      <w:r w:rsidR="00014D9C">
        <w:t xml:space="preserve">, which suggests that the variance of this CPE estimate is doubled and the SNR is reduced by 3dB if </w:t>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1</m:t>
            </m:r>
          </m:sub>
          <m:sup>
            <m:r>
              <m:rPr>
                <m:sty m:val="p"/>
              </m:rP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σ</m:t>
            </m:r>
            <m:ctrlPr>
              <w:rPr>
                <w:rFonts w:ascii="Cambria Math" w:hAnsi="Cambria Math"/>
                <w:i/>
              </w:rPr>
            </m:ctrlPr>
          </m:e>
          <m:sub>
            <m:r>
              <w:rPr>
                <w:rFonts w:ascii="Cambria Math" w:hAnsi="Cambria Math"/>
              </w:rPr>
              <m:t>2</m:t>
            </m:r>
            <m:ctrlPr>
              <w:rPr>
                <w:rFonts w:ascii="Cambria Math" w:hAnsi="Cambria Math"/>
                <w:i/>
              </w:rPr>
            </m:ctrlPr>
          </m:sub>
          <m:sup>
            <m:r>
              <m:rPr>
                <m:sty m:val="p"/>
              </m:rPr>
              <w:rPr>
                <w:rFonts w:ascii="Cambria Math" w:hAnsi="Cambria Math"/>
              </w:rPr>
              <m:t>2</m:t>
            </m:r>
          </m:sup>
        </m:sSubSup>
      </m:oMath>
      <w:r w:rsidR="00014D9C">
        <w:t>.</w:t>
      </w:r>
    </w:p>
    <w:p w:rsidR="006859A3" w:rsidRPr="006A1351" w:rsidRDefault="00014D9C" w:rsidP="00F37293">
      <w:r>
        <w:t>Considering that, phase</w:t>
      </w:r>
      <w:r w:rsidR="0024026E">
        <w:t xml:space="preserve"> estimation</w:t>
      </w:r>
      <w:r>
        <w:t xml:space="preserve"> provided by PT-RS</w:t>
      </w:r>
      <w:r w:rsidR="0024026E">
        <w:t xml:space="preserve"> </w:t>
      </w:r>
      <w:r w:rsidR="006A1351">
        <w:t xml:space="preserve">should have an SNR </w:t>
      </w:r>
      <w:r>
        <w:t>at least 3dB higher</w:t>
      </w:r>
      <w:r w:rsidR="006A1351">
        <w:t xml:space="preserve"> </w:t>
      </w:r>
      <w:r>
        <w:t>than the DMRS channel estimation</w:t>
      </w:r>
      <w:r w:rsidR="006A1351">
        <w:t>,</w:t>
      </w:r>
      <w:r>
        <w:t xml:space="preserve"> so that the </w:t>
      </w:r>
      <w:r w:rsidR="006A1351">
        <w:t xml:space="preserve">noisy </w:t>
      </w:r>
      <w:r>
        <w:t>CPE</w:t>
      </w:r>
      <w:r w:rsidR="006A1351">
        <w:t xml:space="preserve"> estimates used for compensation will not have a major impact on demodulation</w:t>
      </w:r>
      <w:r w:rsidR="0024026E">
        <w:t xml:space="preserve">. </w:t>
      </w:r>
      <w:r w:rsidR="00E348C0">
        <w:t xml:space="preserve">Using a small number of PT-RS, e.g., 1 or 2, would </w:t>
      </w:r>
      <w:r w:rsidR="006A1351">
        <w:t xml:space="preserve">definitely </w:t>
      </w:r>
      <w:r w:rsidR="00E348C0">
        <w:t xml:space="preserve">result in </w:t>
      </w:r>
      <w:r w:rsidR="006A1351">
        <w:t xml:space="preserve">an </w:t>
      </w:r>
      <w:r w:rsidR="00E348C0">
        <w:t xml:space="preserve">inaccurate </w:t>
      </w:r>
      <w:r w:rsidR="006A1351">
        <w:t>phase estimate</w:t>
      </w:r>
      <w:r w:rsidR="00E348C0">
        <w:t>, which could in turn compromise the objective of using PT-RS.</w:t>
      </w:r>
      <w:r w:rsidR="006A1351">
        <w:t xml:space="preserve"> When PT-RS is not used, those REs can be used for PDSCH transmission, providing robustness via a lower coding rate.</w:t>
      </w:r>
    </w:p>
    <w:p w:rsidR="006A1351" w:rsidRDefault="006A1351" w:rsidP="006A1351">
      <w:r>
        <w:rPr>
          <w:b/>
          <w:i/>
        </w:rPr>
        <w:t xml:space="preserve">Proposal 4: </w:t>
      </w:r>
      <w:r>
        <w:rPr>
          <w:i/>
        </w:rPr>
        <w:t>By default PT-RS should not be transmitted when 1 and 2 RBs are scheduled.</w:t>
      </w:r>
      <w:r>
        <w:t xml:space="preserve"> </w:t>
      </w:r>
    </w:p>
    <w:p w:rsidR="00D65ACF" w:rsidRPr="00282772" w:rsidRDefault="00D65ACF" w:rsidP="009D47B0">
      <w:pPr>
        <w:jc w:val="left"/>
        <w:rPr>
          <w:lang w:eastAsia="zh-CN"/>
        </w:rPr>
      </w:pPr>
    </w:p>
    <w:p w:rsidR="00F26519" w:rsidRDefault="00F26519" w:rsidP="009D47B0">
      <w:pPr>
        <w:pStyle w:val="1"/>
        <w:jc w:val="left"/>
        <w:rPr>
          <w:lang w:eastAsia="zh-CN"/>
        </w:rPr>
      </w:pPr>
      <w:r>
        <w:rPr>
          <w:lang w:eastAsia="zh-CN"/>
        </w:rPr>
        <w:t>Conclusion</w:t>
      </w:r>
    </w:p>
    <w:p w:rsidR="00DC362D" w:rsidRDefault="005514BF" w:rsidP="009D47B0">
      <w:pPr>
        <w:jc w:val="left"/>
        <w:rPr>
          <w:lang w:eastAsia="zh-CN"/>
        </w:rPr>
      </w:pPr>
      <w:r>
        <w:rPr>
          <w:lang w:eastAsia="zh-CN"/>
        </w:rPr>
        <w:t xml:space="preserve">In this contribution, we discussed the </w:t>
      </w:r>
      <w:r w:rsidR="00D65ACF">
        <w:rPr>
          <w:lang w:eastAsia="zh-CN"/>
        </w:rPr>
        <w:t xml:space="preserve">remaining issues on PT-RS, </w:t>
      </w:r>
      <w:r w:rsidR="006A1351">
        <w:rPr>
          <w:lang w:eastAsia="zh-CN"/>
        </w:rPr>
        <w:t>The p</w:t>
      </w:r>
      <w:r w:rsidR="00D65ACF">
        <w:rPr>
          <w:lang w:eastAsia="zh-CN"/>
        </w:rPr>
        <w:t>roposals are as following:</w:t>
      </w:r>
    </w:p>
    <w:p w:rsidR="006A1351" w:rsidRPr="000E6090" w:rsidRDefault="006A1351" w:rsidP="006A1351">
      <w:pPr>
        <w:rPr>
          <w:i/>
          <w:lang w:eastAsia="zh-CN"/>
        </w:rPr>
      </w:pPr>
      <w:r>
        <w:rPr>
          <w:b/>
          <w:i/>
          <w:lang w:eastAsia="zh-CN"/>
        </w:rPr>
        <w:t xml:space="preserve">Proposal 1: </w:t>
      </w:r>
      <w:r>
        <w:rPr>
          <w:i/>
          <w:lang w:eastAsia="zh-CN"/>
        </w:rPr>
        <w:t>Regarding the subcarrier mapping of PT-RS within an RB, support for CP-OFDM</w:t>
      </w:r>
    </w:p>
    <w:p w:rsidR="006A1351" w:rsidRDefault="006A1351" w:rsidP="006A1351">
      <w:pPr>
        <w:rPr>
          <w:i/>
          <w:lang w:eastAsia="zh-CN"/>
        </w:rPr>
      </w:pPr>
      <w:r w:rsidRPr="000E6090">
        <w:rPr>
          <w:rFonts w:hint="eastAsia"/>
          <w:i/>
          <w:lang w:eastAsia="zh-CN"/>
        </w:rPr>
        <w:t>–</w:t>
      </w:r>
      <w:r w:rsidRPr="000E6090">
        <w:rPr>
          <w:i/>
          <w:lang w:eastAsia="zh-CN"/>
        </w:rPr>
        <w:tab/>
        <w:t>Alt.4 Each DMRS port maps PT-RS to a different subcarrier by a specified rule</w:t>
      </w:r>
    </w:p>
    <w:p w:rsidR="006A1351" w:rsidRDefault="006A1351" w:rsidP="006A1351">
      <w:pPr>
        <w:rPr>
          <w:i/>
          <w:lang w:eastAsia="zh-CN"/>
        </w:rPr>
      </w:pPr>
      <w:r>
        <w:rPr>
          <w:b/>
          <w:i/>
          <w:lang w:eastAsia="zh-CN"/>
        </w:rPr>
        <w:t xml:space="preserve">Proposal 2: </w:t>
      </w:r>
      <w:r>
        <w:rPr>
          <w:i/>
          <w:lang w:eastAsia="zh-CN"/>
        </w:rPr>
        <w:t>Regarding the RB mapping of PT-RS, support for CP-OFDM</w:t>
      </w:r>
    </w:p>
    <w:p w:rsidR="006A1351" w:rsidRPr="006F3CB3" w:rsidRDefault="006A1351" w:rsidP="00BE430D">
      <w:pPr>
        <w:pStyle w:val="af"/>
        <w:numPr>
          <w:ilvl w:val="0"/>
          <w:numId w:val="43"/>
        </w:numPr>
        <w:autoSpaceDE/>
        <w:autoSpaceDN/>
        <w:adjustRightInd/>
        <w:snapToGrid/>
        <w:spacing w:after="0"/>
        <w:ind w:firstLineChars="0"/>
        <w:contextualSpacing/>
        <w:jc w:val="left"/>
        <w:rPr>
          <w:color w:val="000000"/>
          <w:lang w:eastAsia="zh-CN"/>
        </w:rPr>
      </w:pPr>
      <w:r w:rsidRPr="006F3CB3">
        <w:rPr>
          <w:color w:val="000000"/>
        </w:rPr>
        <w:t>Alt.1: RB offset is fixed (e.g., RB offset=0) in Rel. 15</w:t>
      </w:r>
    </w:p>
    <w:p w:rsidR="006A1351" w:rsidRDefault="006A1351" w:rsidP="006A1351">
      <w:pPr>
        <w:rPr>
          <w:i/>
        </w:rPr>
      </w:pPr>
      <w:r>
        <w:rPr>
          <w:b/>
          <w:i/>
        </w:rPr>
        <w:t>Proposal 3:</w:t>
      </w:r>
      <w:r>
        <w:rPr>
          <w:i/>
        </w:rPr>
        <w:t xml:space="preserve"> Consider adopting the maximum number of subcarriers in </w:t>
      </w:r>
      <w:r w:rsidR="00A84130">
        <w:rPr>
          <w:i/>
        </w:rPr>
        <w:t xml:space="preserve">the </w:t>
      </w:r>
      <w:r>
        <w:rPr>
          <w:i/>
        </w:rPr>
        <w:t xml:space="preserve">table of the PT-RS frequency domain density. </w:t>
      </w:r>
    </w:p>
    <w:p w:rsidR="006A1351" w:rsidRDefault="006A1351" w:rsidP="006A1351">
      <w:r>
        <w:rPr>
          <w:b/>
          <w:i/>
        </w:rPr>
        <w:t xml:space="preserve">Proposal 4: </w:t>
      </w:r>
      <w:r>
        <w:rPr>
          <w:i/>
        </w:rPr>
        <w:t>By default PT-RS should not be transmitted when 1 and 2 RBs are scheduled.</w:t>
      </w:r>
      <w:r>
        <w:t xml:space="preserve"> </w:t>
      </w:r>
    </w:p>
    <w:p w:rsidR="00F26519" w:rsidRPr="00F26519" w:rsidRDefault="00F26519"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t>References</w:t>
      </w:r>
    </w:p>
    <w:p w:rsidR="00504456" w:rsidRDefault="00504456" w:rsidP="00504456">
      <w:pPr>
        <w:pStyle w:val="af"/>
        <w:numPr>
          <w:ilvl w:val="0"/>
          <w:numId w:val="27"/>
        </w:numPr>
        <w:ind w:firstLineChars="0"/>
        <w:jc w:val="left"/>
        <w:rPr>
          <w:lang w:eastAsia="zh-CN"/>
        </w:rPr>
      </w:pPr>
      <w:bookmarkStart w:id="6" w:name="_Ref494215420"/>
      <w:bookmarkStart w:id="7" w:name="_Ref492461566"/>
      <w:r>
        <w:rPr>
          <w:lang w:eastAsia="zh-CN"/>
        </w:rPr>
        <w:t>3GPP RAN1, “Chairman’s Notes RAN1 NR#3”, RAN1 NR-AH 1709, Nagoya, Japan, Sep., 2017.</w:t>
      </w:r>
      <w:bookmarkEnd w:id="6"/>
    </w:p>
    <w:p w:rsidR="00930D0E" w:rsidRDefault="00930D0E" w:rsidP="00930D0E">
      <w:pPr>
        <w:pStyle w:val="af"/>
        <w:numPr>
          <w:ilvl w:val="0"/>
          <w:numId w:val="6"/>
        </w:numPr>
        <w:ind w:firstLineChars="0"/>
        <w:jc w:val="left"/>
        <w:rPr>
          <w:lang w:eastAsia="zh-CN"/>
        </w:rPr>
      </w:pPr>
      <w:bookmarkStart w:id="8" w:name="_Ref494378786"/>
      <w:r>
        <w:rPr>
          <w:lang w:eastAsia="zh-CN"/>
        </w:rPr>
        <w:t>3GPP R1-</w:t>
      </w:r>
      <w:r w:rsidRPr="00930D0E">
        <w:rPr>
          <w:lang w:eastAsia="zh-CN"/>
        </w:rPr>
        <w:t>1714875</w:t>
      </w:r>
      <w:r>
        <w:rPr>
          <w:lang w:eastAsia="zh-CN"/>
        </w:rPr>
        <w:t>, “</w:t>
      </w:r>
      <w:r w:rsidRPr="00D96DB2">
        <w:rPr>
          <w:lang w:eastAsia="ja-JP"/>
        </w:rPr>
        <w:t>WF on PT-RS frequency density table</w:t>
      </w:r>
      <w:r>
        <w:t xml:space="preserve">”, </w:t>
      </w:r>
      <w:r w:rsidRPr="00D96DB2">
        <w:rPr>
          <w:lang w:eastAsia="ja-JP"/>
        </w:rPr>
        <w:t>LG Electronics, Ericsson, InterDigital, Samsung, ZTE, Nokia, Nokia Shanghai Bell, KT, Huawei</w:t>
      </w:r>
      <w:r>
        <w:rPr>
          <w:lang w:eastAsia="ja-JP"/>
        </w:rPr>
        <w:t>, RAN1#90, Prague, Czech, Aug., 2017.</w:t>
      </w:r>
      <w:bookmarkEnd w:id="7"/>
      <w:bookmarkEnd w:id="8"/>
    </w:p>
    <w:sectPr w:rsidR="00930D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CA0" w:rsidRDefault="00227CA0">
      <w:r>
        <w:separator/>
      </w:r>
    </w:p>
  </w:endnote>
  <w:endnote w:type="continuationSeparator" w:id="0">
    <w:p w:rsidR="00227CA0" w:rsidRDefault="0022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CA0" w:rsidRDefault="00227CA0">
      <w:r>
        <w:separator/>
      </w:r>
    </w:p>
  </w:footnote>
  <w:footnote w:type="continuationSeparator" w:id="0">
    <w:p w:rsidR="00227CA0" w:rsidRDefault="00227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4A5F"/>
    <w:multiLevelType w:val="hybridMultilevel"/>
    <w:tmpl w:val="C2F02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E5E9F"/>
    <w:multiLevelType w:val="hybridMultilevel"/>
    <w:tmpl w:val="8B4ECA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C0874"/>
    <w:multiLevelType w:val="hybridMultilevel"/>
    <w:tmpl w:val="F72CE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862E7D"/>
    <w:multiLevelType w:val="hybridMultilevel"/>
    <w:tmpl w:val="71BA4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85BD0"/>
    <w:multiLevelType w:val="hybridMultilevel"/>
    <w:tmpl w:val="1594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190C6F"/>
    <w:multiLevelType w:val="hybridMultilevel"/>
    <w:tmpl w:val="5D4A4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F51BA"/>
    <w:multiLevelType w:val="hybridMultilevel"/>
    <w:tmpl w:val="10085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F35BE5"/>
    <w:multiLevelType w:val="hybridMultilevel"/>
    <w:tmpl w:val="5A5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E861529"/>
    <w:multiLevelType w:val="hybridMultilevel"/>
    <w:tmpl w:val="9B58F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601554"/>
    <w:multiLevelType w:val="hybridMultilevel"/>
    <w:tmpl w:val="19C87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6">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38201E"/>
    <w:multiLevelType w:val="hybridMultilevel"/>
    <w:tmpl w:val="8AC63630"/>
    <w:lvl w:ilvl="0" w:tplc="5D645B10">
      <w:start w:val="1"/>
      <w:numFmt w:val="bullet"/>
      <w:lvlText w:val="•"/>
      <w:lvlJc w:val="left"/>
      <w:pPr>
        <w:tabs>
          <w:tab w:val="num" w:pos="720"/>
        </w:tabs>
        <w:ind w:left="720" w:hanging="360"/>
      </w:pPr>
      <w:rPr>
        <w:rFonts w:ascii="Arial" w:hAnsi="Arial" w:cs="Times New Roman" w:hint="default"/>
      </w:rPr>
    </w:lvl>
    <w:lvl w:ilvl="1" w:tplc="E5EAF4EA">
      <w:numFmt w:val="bullet"/>
      <w:lvlText w:val="•"/>
      <w:lvlJc w:val="left"/>
      <w:pPr>
        <w:tabs>
          <w:tab w:val="num" w:pos="1440"/>
        </w:tabs>
        <w:ind w:left="1440" w:hanging="360"/>
      </w:pPr>
      <w:rPr>
        <w:rFonts w:ascii="Arial" w:hAnsi="Arial" w:cs="Times New Roman" w:hint="default"/>
      </w:rPr>
    </w:lvl>
    <w:lvl w:ilvl="2" w:tplc="35080426">
      <w:start w:val="1"/>
      <w:numFmt w:val="bullet"/>
      <w:lvlText w:val="•"/>
      <w:lvlJc w:val="left"/>
      <w:pPr>
        <w:tabs>
          <w:tab w:val="num" w:pos="2160"/>
        </w:tabs>
        <w:ind w:left="2160" w:hanging="360"/>
      </w:pPr>
      <w:rPr>
        <w:rFonts w:ascii="Arial" w:hAnsi="Arial" w:cs="Times New Roman" w:hint="default"/>
      </w:rPr>
    </w:lvl>
    <w:lvl w:ilvl="3" w:tplc="92F65DF0">
      <w:start w:val="1"/>
      <w:numFmt w:val="bullet"/>
      <w:lvlText w:val="•"/>
      <w:lvlJc w:val="left"/>
      <w:pPr>
        <w:tabs>
          <w:tab w:val="num" w:pos="2880"/>
        </w:tabs>
        <w:ind w:left="2880" w:hanging="360"/>
      </w:pPr>
      <w:rPr>
        <w:rFonts w:ascii="Arial" w:hAnsi="Arial" w:cs="Times New Roman" w:hint="default"/>
      </w:rPr>
    </w:lvl>
    <w:lvl w:ilvl="4" w:tplc="2BE2CCCC">
      <w:start w:val="1"/>
      <w:numFmt w:val="bullet"/>
      <w:lvlText w:val="•"/>
      <w:lvlJc w:val="left"/>
      <w:pPr>
        <w:tabs>
          <w:tab w:val="num" w:pos="3600"/>
        </w:tabs>
        <w:ind w:left="3600" w:hanging="360"/>
      </w:pPr>
      <w:rPr>
        <w:rFonts w:ascii="Arial" w:hAnsi="Arial" w:cs="Times New Roman" w:hint="default"/>
      </w:rPr>
    </w:lvl>
    <w:lvl w:ilvl="5" w:tplc="67547EC6">
      <w:start w:val="1"/>
      <w:numFmt w:val="bullet"/>
      <w:lvlText w:val="•"/>
      <w:lvlJc w:val="left"/>
      <w:pPr>
        <w:tabs>
          <w:tab w:val="num" w:pos="4320"/>
        </w:tabs>
        <w:ind w:left="4320" w:hanging="360"/>
      </w:pPr>
      <w:rPr>
        <w:rFonts w:ascii="Arial" w:hAnsi="Arial" w:cs="Times New Roman" w:hint="default"/>
      </w:rPr>
    </w:lvl>
    <w:lvl w:ilvl="6" w:tplc="121C0466">
      <w:start w:val="1"/>
      <w:numFmt w:val="bullet"/>
      <w:lvlText w:val="•"/>
      <w:lvlJc w:val="left"/>
      <w:pPr>
        <w:tabs>
          <w:tab w:val="num" w:pos="5040"/>
        </w:tabs>
        <w:ind w:left="5040" w:hanging="360"/>
      </w:pPr>
      <w:rPr>
        <w:rFonts w:ascii="Arial" w:hAnsi="Arial" w:cs="Times New Roman" w:hint="default"/>
      </w:rPr>
    </w:lvl>
    <w:lvl w:ilvl="7" w:tplc="FDF2BDFE">
      <w:start w:val="1"/>
      <w:numFmt w:val="bullet"/>
      <w:lvlText w:val="•"/>
      <w:lvlJc w:val="left"/>
      <w:pPr>
        <w:tabs>
          <w:tab w:val="num" w:pos="5760"/>
        </w:tabs>
        <w:ind w:left="5760" w:hanging="360"/>
      </w:pPr>
      <w:rPr>
        <w:rFonts w:ascii="Arial" w:hAnsi="Arial" w:cs="Times New Roman" w:hint="default"/>
      </w:rPr>
    </w:lvl>
    <w:lvl w:ilvl="8" w:tplc="4CB67918">
      <w:start w:val="1"/>
      <w:numFmt w:val="bullet"/>
      <w:lvlText w:val="•"/>
      <w:lvlJc w:val="left"/>
      <w:pPr>
        <w:tabs>
          <w:tab w:val="num" w:pos="6480"/>
        </w:tabs>
        <w:ind w:left="6480" w:hanging="360"/>
      </w:pPr>
      <w:rPr>
        <w:rFonts w:ascii="Arial" w:hAnsi="Arial" w:cs="Times New Roman" w:hint="default"/>
      </w:rPr>
    </w:lvl>
  </w:abstractNum>
  <w:abstractNum w:abstractNumId="19">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EC95FFD"/>
    <w:multiLevelType w:val="hybridMultilevel"/>
    <w:tmpl w:val="8192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901702C"/>
    <w:multiLevelType w:val="hybridMultilevel"/>
    <w:tmpl w:val="45BC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6C3A44"/>
    <w:multiLevelType w:val="hybridMultilevel"/>
    <w:tmpl w:val="E11C993C"/>
    <w:lvl w:ilvl="0" w:tplc="355A3E96">
      <w:start w:val="1"/>
      <w:numFmt w:val="bullet"/>
      <w:lvlText w:val="•"/>
      <w:lvlJc w:val="left"/>
      <w:pPr>
        <w:tabs>
          <w:tab w:val="num" w:pos="720"/>
        </w:tabs>
        <w:ind w:left="720" w:hanging="360"/>
      </w:pPr>
      <w:rPr>
        <w:rFonts w:ascii="Arial" w:hAnsi="Arial" w:cs="Times New Roman" w:hint="default"/>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27">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55776C27"/>
    <w:multiLevelType w:val="hybridMultilevel"/>
    <w:tmpl w:val="DC8A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8F2C14"/>
    <w:multiLevelType w:val="hybridMultilevel"/>
    <w:tmpl w:val="91A4A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D32AB5"/>
    <w:multiLevelType w:val="hybridMultilevel"/>
    <w:tmpl w:val="39DC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3">
    <w:nsid w:val="6BED23C8"/>
    <w:multiLevelType w:val="hybridMultilevel"/>
    <w:tmpl w:val="CB30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3EF669F"/>
    <w:multiLevelType w:val="hybridMultilevel"/>
    <w:tmpl w:val="DE285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9ED4BE3"/>
    <w:multiLevelType w:val="hybridMultilevel"/>
    <w:tmpl w:val="80BE8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136358"/>
    <w:multiLevelType w:val="hybridMultilevel"/>
    <w:tmpl w:val="00A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9"/>
  </w:num>
  <w:num w:numId="3">
    <w:abstractNumId w:val="34"/>
  </w:num>
  <w:num w:numId="4">
    <w:abstractNumId w:val="36"/>
  </w:num>
  <w:num w:numId="5">
    <w:abstractNumId w:val="28"/>
  </w:num>
  <w:num w:numId="6">
    <w:abstractNumId w:val="8"/>
  </w:num>
  <w:num w:numId="7">
    <w:abstractNumId w:val="24"/>
  </w:num>
  <w:num w:numId="8">
    <w:abstractNumId w:val="22"/>
  </w:num>
  <w:num w:numId="9">
    <w:abstractNumId w:val="11"/>
  </w:num>
  <w:num w:numId="10">
    <w:abstractNumId w:val="27"/>
  </w:num>
  <w:num w:numId="11">
    <w:abstractNumId w:val="23"/>
  </w:num>
  <w:num w:numId="12">
    <w:abstractNumId w:val="32"/>
  </w:num>
  <w:num w:numId="13">
    <w:abstractNumId w:val="5"/>
  </w:num>
  <w:num w:numId="14">
    <w:abstractNumId w:val="38"/>
  </w:num>
  <w:num w:numId="15">
    <w:abstractNumId w:val="12"/>
  </w:num>
  <w:num w:numId="16">
    <w:abstractNumId w:val="10"/>
  </w:num>
  <w:num w:numId="17">
    <w:abstractNumId w:val="9"/>
  </w:num>
  <w:num w:numId="18">
    <w:abstractNumId w:val="6"/>
  </w:num>
  <w:num w:numId="19">
    <w:abstractNumId w:val="14"/>
  </w:num>
  <w:num w:numId="20">
    <w:abstractNumId w:val="33"/>
  </w:num>
  <w:num w:numId="21">
    <w:abstractNumId w:val="2"/>
  </w:num>
  <w:num w:numId="22">
    <w:abstractNumId w:val="31"/>
  </w:num>
  <w:num w:numId="23">
    <w:abstractNumId w:val="40"/>
  </w:num>
  <w:num w:numId="24">
    <w:abstractNumId w:val="25"/>
  </w:num>
  <w:num w:numId="25">
    <w:abstractNumId w:val="1"/>
  </w:num>
  <w:num w:numId="26">
    <w:abstractNumId w:val="4"/>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6"/>
  </w:num>
  <w:num w:numId="30">
    <w:abstractNumId w:val="3"/>
  </w:num>
  <w:num w:numId="31">
    <w:abstractNumId w:val="18"/>
  </w:num>
  <w:num w:numId="32">
    <w:abstractNumId w:val="35"/>
  </w:num>
  <w:num w:numId="33">
    <w:abstractNumId w:val="29"/>
  </w:num>
  <w:num w:numId="34">
    <w:abstractNumId w:val="30"/>
  </w:num>
  <w:num w:numId="35">
    <w:abstractNumId w:val="0"/>
  </w:num>
  <w:num w:numId="36">
    <w:abstractNumId w:val="21"/>
  </w:num>
  <w:num w:numId="37">
    <w:abstractNumId w:val="19"/>
  </w:num>
  <w:num w:numId="38">
    <w:abstractNumId w:val="16"/>
  </w:num>
  <w:num w:numId="39">
    <w:abstractNumId w:val="15"/>
  </w:num>
  <w:num w:numId="40">
    <w:abstractNumId w:val="13"/>
  </w:num>
  <w:num w:numId="41">
    <w:abstractNumId w:val="37"/>
  </w:num>
  <w:num w:numId="42">
    <w:abstractNumId w:val="7"/>
  </w:num>
  <w:num w:numId="4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8C"/>
    <w:rsid w:val="005021DD"/>
    <w:rsid w:val="005026CA"/>
    <w:rsid w:val="00502B72"/>
    <w:rsid w:val="00502E68"/>
    <w:rsid w:val="005038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D11"/>
    <w:rsid w:val="00847EF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4EF"/>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
    <w:link w:val="af"/>
    <w:uiPriority w:val="34"/>
    <w:qFormat/>
    <w:locked/>
    <w:rsid w:val="003D77F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792D5-55DE-4CED-A5C0-3510E9CE3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3</cp:revision>
  <cp:lastPrinted>2015-03-27T14:25:00Z</cp:lastPrinted>
  <dcterms:created xsi:type="dcterms:W3CDTF">2017-09-28T09:55:00Z</dcterms:created>
  <dcterms:modified xsi:type="dcterms:W3CDTF">2017-09-28T23:59:00Z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